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F8" w:rsidRPr="00D2496C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940BB" w:rsidRPr="00D2496C">
        <w:rPr>
          <w:rFonts w:ascii="Times New Roman" w:hAnsi="Times New Roman" w:cs="Times New Roman"/>
          <w:sz w:val="26"/>
          <w:szCs w:val="26"/>
        </w:rPr>
        <w:t>8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D226F8" w:rsidRPr="00235DEC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от </w:t>
      </w:r>
      <w:r w:rsidR="007940BB" w:rsidRPr="00D2496C">
        <w:rPr>
          <w:rFonts w:ascii="Times New Roman" w:hAnsi="Times New Roman" w:cs="Times New Roman"/>
          <w:sz w:val="26"/>
          <w:szCs w:val="26"/>
        </w:rPr>
        <w:t>09</w:t>
      </w:r>
      <w:r w:rsidRPr="00E12E1D">
        <w:rPr>
          <w:rFonts w:ascii="Times New Roman" w:hAnsi="Times New Roman" w:cs="Times New Roman"/>
          <w:sz w:val="26"/>
          <w:szCs w:val="26"/>
        </w:rPr>
        <w:t>.</w:t>
      </w:r>
      <w:r w:rsidR="007940BB" w:rsidRPr="00D2496C">
        <w:rPr>
          <w:rFonts w:ascii="Times New Roman" w:hAnsi="Times New Roman" w:cs="Times New Roman"/>
          <w:sz w:val="26"/>
          <w:szCs w:val="26"/>
        </w:rPr>
        <w:t>12</w:t>
      </w:r>
      <w:r w:rsidRPr="00E12E1D">
        <w:rPr>
          <w:rFonts w:ascii="Times New Roman" w:hAnsi="Times New Roman" w:cs="Times New Roman"/>
          <w:sz w:val="26"/>
          <w:szCs w:val="26"/>
        </w:rPr>
        <w:t xml:space="preserve">.2024 № </w:t>
      </w:r>
      <w:r w:rsidR="00271BFE">
        <w:rPr>
          <w:rFonts w:ascii="Times New Roman" w:hAnsi="Times New Roman" w:cs="Times New Roman"/>
          <w:sz w:val="26"/>
          <w:szCs w:val="26"/>
        </w:rPr>
        <w:t>1</w:t>
      </w:r>
      <w:r w:rsidR="00CA5E21" w:rsidRPr="00235DEC">
        <w:rPr>
          <w:rFonts w:ascii="Times New Roman" w:hAnsi="Times New Roman" w:cs="Times New Roman"/>
          <w:sz w:val="26"/>
          <w:szCs w:val="26"/>
        </w:rPr>
        <w:t>3</w:t>
      </w: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CA5E21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027B06" w:rsidRPr="00CA5E21">
        <w:rPr>
          <w:rFonts w:ascii="Times New Roman" w:hAnsi="Times New Roman" w:cs="Times New Roman"/>
          <w:b/>
          <w:sz w:val="26"/>
          <w:szCs w:val="26"/>
        </w:rPr>
        <w:t>7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</w:t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="00261F25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7940BB" w:rsidRPr="007940BB">
        <w:rPr>
          <w:rFonts w:ascii="Times New Roman" w:hAnsi="Times New Roman"/>
          <w:sz w:val="26"/>
          <w:szCs w:val="26"/>
        </w:rPr>
        <w:t>09</w:t>
      </w:r>
      <w:r w:rsidR="00670970">
        <w:rPr>
          <w:rFonts w:ascii="Times New Roman" w:hAnsi="Times New Roman"/>
          <w:sz w:val="26"/>
          <w:szCs w:val="26"/>
        </w:rPr>
        <w:t>.</w:t>
      </w:r>
      <w:r w:rsidR="007940BB">
        <w:rPr>
          <w:rFonts w:ascii="Times New Roman" w:hAnsi="Times New Roman"/>
          <w:sz w:val="26"/>
          <w:szCs w:val="26"/>
          <w:lang w:val="en-US"/>
        </w:rPr>
        <w:t>12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62F14" w:rsidRPr="0029703B" w:rsidRDefault="00462F14" w:rsidP="00462F14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Ивановской области,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2024 год</w:t>
      </w:r>
      <w:proofErr w:type="gramEnd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(далее – Тарифное соглашение) о нижеследующем:</w:t>
      </w:r>
    </w:p>
    <w:p w:rsidR="00462F14" w:rsidRPr="0029703B" w:rsidRDefault="00462F14" w:rsidP="00462F14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462F14" w:rsidRPr="0029703B" w:rsidRDefault="00462F14" w:rsidP="00462F14">
      <w:pPr>
        <w:numPr>
          <w:ilvl w:val="0"/>
          <w:numId w:val="10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462F14" w:rsidRDefault="00462F14" w:rsidP="00462F14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Абзац девятый п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>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раздела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изложить в новой редакции:</w:t>
      </w:r>
    </w:p>
    <w:p w:rsidR="00462F14" w:rsidRDefault="00462F14" w:rsidP="00462F1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Законченный случай лечения в стационаре (дневном стационаре) – совокупность медицинских услуг, оказанных пациенту от даты поступления до даты выбытия, в соответствии с порядками оказания медицинской помощи и/или на основе клинических рекомендаций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</w:t>
      </w: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».</w:t>
      </w:r>
      <w:proofErr w:type="gramEnd"/>
    </w:p>
    <w:p w:rsidR="00462F14" w:rsidRDefault="00462F14" w:rsidP="00462F14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Абзац пятый подпункта 2.2.1. пункта 2.2. раздела 2 изложить в новой редакции:</w:t>
      </w:r>
    </w:p>
    <w:p w:rsidR="00462F14" w:rsidRDefault="00462F14" w:rsidP="00462F1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Pr="0029703B">
        <w:rPr>
          <w:rFonts w:ascii="Times New Roman" w:eastAsia="Calibri" w:hAnsi="Times New Roman"/>
          <w:bCs/>
          <w:sz w:val="28"/>
          <w:szCs w:val="28"/>
        </w:rPr>
        <w:t>- медицинская помощь в неотложной форме</w:t>
      </w:r>
      <w:r w:rsidRPr="00841949">
        <w:rPr>
          <w:rFonts w:ascii="Times New Roman" w:eastAsia="Calibri" w:hAnsi="Times New Roman"/>
          <w:bCs/>
          <w:sz w:val="28"/>
          <w:szCs w:val="28"/>
        </w:rPr>
        <w:t xml:space="preserve">, в том числе оказание медицинской помощи пациенту, обратившемуся самостоятельно или доставленному бригадой скорой медицинской помощи в приемное отделение стационара без последующей госпитализации (в случае оказания медицинской помощи разными врачами-специалистами одновременно при одном обращении в приемном отделении учету и оплате подлежит одно посещение с неотложной целью). Посещение врача в </w:t>
      </w:r>
      <w:r w:rsidRPr="00841949">
        <w:rPr>
          <w:rFonts w:ascii="Times New Roman" w:eastAsia="Calibri" w:hAnsi="Times New Roman"/>
          <w:bCs/>
          <w:sz w:val="28"/>
          <w:szCs w:val="28"/>
        </w:rPr>
        <w:lastRenderedPageBreak/>
        <w:t>приемном отделении для оказания неотложной помощи в случае самостоятельного (без направления врача) обращения</w:t>
      </w:r>
      <w:r>
        <w:rPr>
          <w:rFonts w:ascii="Times New Roman" w:eastAsia="Calibri" w:hAnsi="Times New Roman"/>
          <w:bCs/>
          <w:sz w:val="28"/>
          <w:szCs w:val="28"/>
        </w:rPr>
        <w:t xml:space="preserve"> больного,</w:t>
      </w:r>
      <w:r w:rsidRPr="00841949">
        <w:rPr>
          <w:rFonts w:ascii="Times New Roman" w:eastAsia="Calibri" w:hAnsi="Times New Roman"/>
          <w:bCs/>
          <w:sz w:val="28"/>
          <w:szCs w:val="28"/>
        </w:rPr>
        <w:t xml:space="preserve"> без последующей госпитализации</w:t>
      </w:r>
      <w:r>
        <w:rPr>
          <w:rFonts w:ascii="Times New Roman" w:eastAsia="Calibri" w:hAnsi="Times New Roman"/>
          <w:bCs/>
          <w:sz w:val="28"/>
          <w:szCs w:val="28"/>
        </w:rPr>
        <w:t>,</w:t>
      </w:r>
      <w:r w:rsidRPr="00841949">
        <w:rPr>
          <w:rFonts w:ascii="Times New Roman" w:eastAsia="Calibri" w:hAnsi="Times New Roman"/>
          <w:bCs/>
          <w:sz w:val="28"/>
          <w:szCs w:val="28"/>
        </w:rPr>
        <w:t xml:space="preserve"> с оформлением «Журнала регистрации амбулаторных больных», «Журнала учета приема больных и отказов в госпитализации», а также оформлением талона пациента, получающего медицинскую помощь в амбулаторных условиях</w:t>
      </w:r>
      <w:proofErr w:type="gramStart"/>
      <w:r w:rsidRPr="00841949">
        <w:rPr>
          <w:rFonts w:ascii="Times New Roman" w:eastAsia="Calibri" w:hAnsi="Times New Roman"/>
          <w:bCs/>
          <w:sz w:val="28"/>
          <w:szCs w:val="28"/>
        </w:rPr>
        <w:t>;»</w:t>
      </w:r>
      <w:proofErr w:type="gramEnd"/>
      <w:r w:rsidRPr="00841949">
        <w:rPr>
          <w:rFonts w:ascii="Times New Roman" w:eastAsia="Calibri" w:hAnsi="Times New Roman"/>
          <w:bCs/>
          <w:sz w:val="28"/>
          <w:szCs w:val="28"/>
        </w:rPr>
        <w:t>.</w:t>
      </w:r>
    </w:p>
    <w:p w:rsidR="00462F14" w:rsidRPr="009C7052" w:rsidRDefault="00462F14" w:rsidP="00462F14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>Абзац первый пункта 3.2. раздела 3 изложить в новой редакции:</w:t>
      </w:r>
    </w:p>
    <w:p w:rsidR="00462F14" w:rsidRPr="009C7052" w:rsidRDefault="00462F14" w:rsidP="00462F1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>«Тарифы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от 28.02.2019 № 108н «Об утверждении Правил обязательного медицинского страхования», и другими нормативными правовыми актами 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</w:t>
      </w:r>
      <w:proofErr w:type="gramEnd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>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включая расходы на техническое обслуживание и</w:t>
      </w:r>
      <w:proofErr w:type="gramEnd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>ремонт основных средств,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которые детализируются в соответствии с порядком, устанавливаемым в соответствии со статьями 18, 23.1 и 165 Бюджетного кодекса Российской Федерации, расходы на приобретение основных средств (оборудование, производственный и хозяйственный инвентарь) стоимостью до четырехсот тысяч</w:t>
      </w:r>
      <w:proofErr w:type="gramEnd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организации, не погашенной в течение 3 месяцев кредиторской задолженности за счет средств обязательного медицинского страхования</w:t>
      </w:r>
      <w:proofErr w:type="gramStart"/>
      <w:r w:rsidRPr="009C7052">
        <w:rPr>
          <w:rFonts w:ascii="Times New Roman" w:eastAsia="Calibri" w:hAnsi="Times New Roman"/>
          <w:bCs/>
          <w:sz w:val="28"/>
          <w:szCs w:val="28"/>
          <w:lang w:eastAsia="en-US"/>
        </w:rPr>
        <w:t>.».</w:t>
      </w:r>
      <w:proofErr w:type="gramEnd"/>
    </w:p>
    <w:p w:rsidR="00462F14" w:rsidRDefault="00462F14" w:rsidP="00462F14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Подпункт 3.5.6. пункта 3.5. раздела 3 изложить в новой редакции:</w:t>
      </w:r>
    </w:p>
    <w:p w:rsidR="00462F14" w:rsidRDefault="00462F14" w:rsidP="00462F1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«3.5.6. 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При направлении застрахованного лица в другую медицинскую организацию для проведения позитронно-эмиссионной компьютерной томографии медицинской организацией, оказывающей ему медицинскую помощь в стационарных условиях и не имеющей возможности проведения позитронно-эмиссионной компьютерной томографии,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помощи), как консультацию – при отсутствии в клинических рекомендациях (порядке оказания медицинской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помощи)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.»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BE047B" w:rsidRPr="00D2496C" w:rsidRDefault="00BE047B" w:rsidP="00BE047B">
      <w:pPr>
        <w:pStyle w:val="af2"/>
        <w:numPr>
          <w:ilvl w:val="1"/>
          <w:numId w:val="11"/>
        </w:numPr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Приложение № 27 «Размеры дифференцированных </w:t>
      </w:r>
      <w:proofErr w:type="spellStart"/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>подушевых</w:t>
      </w:r>
      <w:proofErr w:type="spellEnd"/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нормативов финансирования амбулаторной медицинской помощи» к Тарифному соглашению изложить в новой редакции (приложение №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>1 к настоящему Дополнительному соглашению)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D2496C" w:rsidRPr="00D2496C" w:rsidRDefault="00D2496C" w:rsidP="00D2496C">
      <w:pPr>
        <w:pStyle w:val="af2"/>
        <w:numPr>
          <w:ilvl w:val="1"/>
          <w:numId w:val="11"/>
        </w:numPr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Приложение № 27 «Размеры дифференцированных </w:t>
      </w:r>
      <w:proofErr w:type="spellStart"/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>подушевых</w:t>
      </w:r>
      <w:proofErr w:type="spellEnd"/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нормативов финансирования амбулаторной медицинской помощи» к Тарифному соглашению изложить в новой редакции (приложение №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D2496C"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3B284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BE047B" w:rsidRDefault="00BE047B" w:rsidP="00BE047B">
      <w:pPr>
        <w:numPr>
          <w:ilvl w:val="1"/>
          <w:numId w:val="1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40 «</w:t>
      </w:r>
      <w:r w:rsidRPr="00E32687">
        <w:rPr>
          <w:rFonts w:ascii="Times New Roman" w:eastAsia="Calibri" w:hAnsi="Times New Roman"/>
          <w:bCs/>
          <w:sz w:val="28"/>
          <w:szCs w:val="28"/>
          <w:lang w:eastAsia="en-US"/>
        </w:rPr>
        <w:t>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Pr="00235DE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 w:rsidR="00D2496C" w:rsidRPr="00D2496C">
        <w:rPr>
          <w:rFonts w:ascii="Times New Roman" w:eastAsia="Calibri" w:hAnsi="Times New Roman"/>
          <w:bCs/>
          <w:sz w:val="28"/>
          <w:szCs w:val="28"/>
          <w:lang w:eastAsia="en-US"/>
        </w:rPr>
        <w:t>3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2496C" w:rsidRDefault="00D2496C" w:rsidP="00D2496C">
      <w:pPr>
        <w:numPr>
          <w:ilvl w:val="0"/>
          <w:numId w:val="10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054C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D2496C" w:rsidRDefault="00D2496C" w:rsidP="00D2496C">
      <w:pPr>
        <w:pStyle w:val="af2"/>
        <w:numPr>
          <w:ilvl w:val="0"/>
          <w:numId w:val="13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53E98"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15.10.2024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части пунктов 1.1</w:t>
      </w:r>
      <w:r w:rsidRPr="00153E98">
        <w:rPr>
          <w:rFonts w:ascii="Times New Roman" w:eastAsia="Calibri" w:hAnsi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1.3, 1.4, 1.7;</w:t>
      </w:r>
    </w:p>
    <w:p w:rsidR="00D2496C" w:rsidRDefault="00D2496C" w:rsidP="00D2496C">
      <w:pPr>
        <w:pStyle w:val="af2"/>
        <w:numPr>
          <w:ilvl w:val="0"/>
          <w:numId w:val="13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01.11.2024 в части пунктов 1.2, 1.5;</w:t>
      </w:r>
    </w:p>
    <w:p w:rsidR="00D2496C" w:rsidRPr="008948EE" w:rsidRDefault="00D2496C" w:rsidP="00D2496C">
      <w:pPr>
        <w:pStyle w:val="af2"/>
        <w:numPr>
          <w:ilvl w:val="0"/>
          <w:numId w:val="13"/>
        </w:numPr>
        <w:ind w:left="0" w:firstLine="567"/>
        <w:jc w:val="both"/>
        <w:rPr>
          <w:rFonts w:ascii="Times New Roman" w:eastAsia="Calibri" w:hAnsi="Times New Roman"/>
          <w:b/>
          <w:sz w:val="20"/>
        </w:rPr>
      </w:pPr>
      <w:r w:rsidRPr="008948EE"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01.12.2024 в части пункта 1.6.</w:t>
      </w:r>
    </w:p>
    <w:p w:rsidR="00D2496C" w:rsidRPr="008948EE" w:rsidRDefault="00D2496C" w:rsidP="00D2496C">
      <w:pPr>
        <w:pStyle w:val="af2"/>
        <w:ind w:left="1134"/>
        <w:jc w:val="both"/>
        <w:rPr>
          <w:rFonts w:ascii="Times New Roman" w:eastAsia="Calibri" w:hAnsi="Times New Roman"/>
          <w:b/>
          <w:sz w:val="20"/>
        </w:rPr>
      </w:pPr>
    </w:p>
    <w:p w:rsidR="00BE047B" w:rsidRDefault="00BE047B" w:rsidP="0029703B">
      <w:pPr>
        <w:spacing w:line="276" w:lineRule="auto"/>
        <w:ind w:left="-567" w:firstLine="567"/>
      </w:pPr>
      <w:bookmarkStart w:id="0" w:name="_GoBack"/>
      <w:bookmarkEnd w:id="0"/>
    </w:p>
    <w:p w:rsidR="00BE047B" w:rsidRDefault="00BE047B" w:rsidP="0029703B">
      <w:pPr>
        <w:spacing w:line="276" w:lineRule="auto"/>
        <w:ind w:left="-567" w:firstLine="567"/>
      </w:pPr>
    </w:p>
    <w:p w:rsidR="00BE047B" w:rsidRDefault="00BE047B" w:rsidP="0029703B">
      <w:pPr>
        <w:spacing w:line="276" w:lineRule="auto"/>
        <w:ind w:left="-567" w:firstLine="567"/>
      </w:pPr>
    </w:p>
    <w:p w:rsidR="0029703B" w:rsidRPr="0029703B" w:rsidRDefault="00C35740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Pr="004F528A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p w:rsidR="0082149B" w:rsidRPr="004F528A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Cs w:val="24"/>
        </w:rPr>
      </w:pPr>
    </w:p>
    <w:tbl>
      <w:tblPr>
        <w:tblW w:w="9764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22"/>
      </w:tblGrid>
      <w:tr w:rsidR="0029703B" w:rsidRPr="0029703B" w:rsidTr="0029703B">
        <w:trPr>
          <w:trHeight w:val="1140"/>
        </w:trPr>
        <w:tc>
          <w:tcPr>
            <w:tcW w:w="2973" w:type="dxa"/>
            <w:vAlign w:val="center"/>
          </w:tcPr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8" w:type="dxa"/>
            <w:gridSpan w:val="2"/>
            <w:vAlign w:val="center"/>
            <w:hideMark/>
          </w:tcPr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  <w:vAlign w:val="center"/>
          </w:tcPr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10"/>
        </w:trPr>
        <w:tc>
          <w:tcPr>
            <w:tcW w:w="3000" w:type="dxa"/>
            <w:gridSpan w:val="2"/>
            <w:hideMark/>
          </w:tcPr>
          <w:p w:rsidR="0029703B" w:rsidRPr="0029703B" w:rsidRDefault="00C3574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791" w:type="dxa"/>
            <w:hideMark/>
          </w:tcPr>
          <w:p w:rsidR="0029703B" w:rsidRPr="0029703B" w:rsidRDefault="00C35740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C35740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903" w:type="dxa"/>
            <w:hideMark/>
          </w:tcPr>
          <w:p w:rsidR="0029703B" w:rsidRPr="0029703B" w:rsidRDefault="00C3574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C3574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C3574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C3574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C3574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C3574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C3574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C3574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C3574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C3574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3441E7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8054CB" w:rsidRDefault="009B6D90" w:rsidP="008054CB">
      <w:pPr>
        <w:rPr>
          <w:rFonts w:ascii="Times New Roman" w:hAnsi="Times New Roman"/>
          <w:vanish/>
          <w:szCs w:val="24"/>
        </w:rPr>
      </w:pPr>
    </w:p>
    <w:sectPr w:rsidR="009B6D90" w:rsidRPr="008054CB" w:rsidSect="00FA0E16">
      <w:headerReference w:type="default" r:id="rId30"/>
      <w:pgSz w:w="11906" w:h="16838"/>
      <w:pgMar w:top="567" w:right="567" w:bottom="567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40" w:rsidRDefault="00C35740" w:rsidP="00947A44">
      <w:r>
        <w:separator/>
      </w:r>
    </w:p>
  </w:endnote>
  <w:endnote w:type="continuationSeparator" w:id="0">
    <w:p w:rsidR="00C35740" w:rsidRDefault="00C35740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40" w:rsidRDefault="00C35740" w:rsidP="00947A44">
      <w:r>
        <w:separator/>
      </w:r>
    </w:p>
  </w:footnote>
  <w:footnote w:type="continuationSeparator" w:id="0">
    <w:p w:rsidR="00C35740" w:rsidRDefault="00C35740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D2496C">
          <w:rPr>
            <w:rFonts w:ascii="Times New Roman" w:hAnsi="Times New Roman"/>
            <w:noProof/>
            <w:sz w:val="20"/>
          </w:rPr>
          <w:t>3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29E31BC8"/>
    <w:multiLevelType w:val="hybridMultilevel"/>
    <w:tmpl w:val="B51A2BE6"/>
    <w:lvl w:ilvl="0" w:tplc="90DE3F46">
      <w:start w:val="1"/>
      <w:numFmt w:val="decimal"/>
      <w:lvlText w:val="2.%1"/>
      <w:lvlJc w:val="left"/>
      <w:pPr>
        <w:ind w:left="135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4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A697CBD"/>
    <w:multiLevelType w:val="hybridMultilevel"/>
    <w:tmpl w:val="4A42492A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27B06"/>
    <w:rsid w:val="000336D7"/>
    <w:rsid w:val="000428F4"/>
    <w:rsid w:val="00046143"/>
    <w:rsid w:val="000517D3"/>
    <w:rsid w:val="00053E6C"/>
    <w:rsid w:val="00065E1E"/>
    <w:rsid w:val="000752B4"/>
    <w:rsid w:val="00075F8F"/>
    <w:rsid w:val="000A1B05"/>
    <w:rsid w:val="000A5CB6"/>
    <w:rsid w:val="000D203E"/>
    <w:rsid w:val="000E71B9"/>
    <w:rsid w:val="000F1B3F"/>
    <w:rsid w:val="000F268F"/>
    <w:rsid w:val="000F40E3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E2F10"/>
    <w:rsid w:val="001F30B1"/>
    <w:rsid w:val="00205A50"/>
    <w:rsid w:val="00210435"/>
    <w:rsid w:val="00223DA0"/>
    <w:rsid w:val="00225546"/>
    <w:rsid w:val="00235DEC"/>
    <w:rsid w:val="002368AB"/>
    <w:rsid w:val="00253037"/>
    <w:rsid w:val="00260B07"/>
    <w:rsid w:val="00260F40"/>
    <w:rsid w:val="00261F25"/>
    <w:rsid w:val="00271BFE"/>
    <w:rsid w:val="00271E21"/>
    <w:rsid w:val="00276C88"/>
    <w:rsid w:val="002815C8"/>
    <w:rsid w:val="0029703B"/>
    <w:rsid w:val="002970CA"/>
    <w:rsid w:val="002A2E8B"/>
    <w:rsid w:val="002C0481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45D74"/>
    <w:rsid w:val="00347FB0"/>
    <w:rsid w:val="0035705B"/>
    <w:rsid w:val="0037664B"/>
    <w:rsid w:val="0038186F"/>
    <w:rsid w:val="0038309B"/>
    <w:rsid w:val="003B0A41"/>
    <w:rsid w:val="003D7FA2"/>
    <w:rsid w:val="003E7338"/>
    <w:rsid w:val="00417AA7"/>
    <w:rsid w:val="00420E80"/>
    <w:rsid w:val="00434FA8"/>
    <w:rsid w:val="00445CD4"/>
    <w:rsid w:val="00446410"/>
    <w:rsid w:val="004473F4"/>
    <w:rsid w:val="00447C99"/>
    <w:rsid w:val="00450B0B"/>
    <w:rsid w:val="004551A4"/>
    <w:rsid w:val="00462F14"/>
    <w:rsid w:val="004A27B3"/>
    <w:rsid w:val="004B37C4"/>
    <w:rsid w:val="004C24A9"/>
    <w:rsid w:val="004C6C37"/>
    <w:rsid w:val="004E6C61"/>
    <w:rsid w:val="004F0647"/>
    <w:rsid w:val="004F3497"/>
    <w:rsid w:val="004F528A"/>
    <w:rsid w:val="00513BC7"/>
    <w:rsid w:val="00517E57"/>
    <w:rsid w:val="00525D29"/>
    <w:rsid w:val="0053596C"/>
    <w:rsid w:val="00555F55"/>
    <w:rsid w:val="00570325"/>
    <w:rsid w:val="00586A63"/>
    <w:rsid w:val="00587FC0"/>
    <w:rsid w:val="005A1017"/>
    <w:rsid w:val="005A7415"/>
    <w:rsid w:val="005C2B8A"/>
    <w:rsid w:val="005F2275"/>
    <w:rsid w:val="006131FC"/>
    <w:rsid w:val="006158C1"/>
    <w:rsid w:val="00616D84"/>
    <w:rsid w:val="00621446"/>
    <w:rsid w:val="006254F8"/>
    <w:rsid w:val="00625F62"/>
    <w:rsid w:val="00642090"/>
    <w:rsid w:val="00643CA1"/>
    <w:rsid w:val="00660DA9"/>
    <w:rsid w:val="006637DD"/>
    <w:rsid w:val="00670970"/>
    <w:rsid w:val="00690F31"/>
    <w:rsid w:val="006B4547"/>
    <w:rsid w:val="006B6303"/>
    <w:rsid w:val="006C1536"/>
    <w:rsid w:val="006D26C7"/>
    <w:rsid w:val="0071773F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940BB"/>
    <w:rsid w:val="00797687"/>
    <w:rsid w:val="007A0324"/>
    <w:rsid w:val="007A0550"/>
    <w:rsid w:val="007B6883"/>
    <w:rsid w:val="007E6C68"/>
    <w:rsid w:val="007F4D18"/>
    <w:rsid w:val="00802ECA"/>
    <w:rsid w:val="008054CB"/>
    <w:rsid w:val="0082149B"/>
    <w:rsid w:val="00841949"/>
    <w:rsid w:val="00857448"/>
    <w:rsid w:val="00861622"/>
    <w:rsid w:val="00875178"/>
    <w:rsid w:val="00880EDE"/>
    <w:rsid w:val="008A52BD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616A2"/>
    <w:rsid w:val="00963095"/>
    <w:rsid w:val="0097605F"/>
    <w:rsid w:val="00997268"/>
    <w:rsid w:val="009B6D34"/>
    <w:rsid w:val="009B6D90"/>
    <w:rsid w:val="009B7441"/>
    <w:rsid w:val="009C65A8"/>
    <w:rsid w:val="009F443E"/>
    <w:rsid w:val="00A16B7F"/>
    <w:rsid w:val="00A262EB"/>
    <w:rsid w:val="00A35438"/>
    <w:rsid w:val="00A370B8"/>
    <w:rsid w:val="00A45B02"/>
    <w:rsid w:val="00A47AB9"/>
    <w:rsid w:val="00A52BA3"/>
    <w:rsid w:val="00A57532"/>
    <w:rsid w:val="00A6221D"/>
    <w:rsid w:val="00A7306E"/>
    <w:rsid w:val="00A812F9"/>
    <w:rsid w:val="00A85129"/>
    <w:rsid w:val="00AB0925"/>
    <w:rsid w:val="00AD5824"/>
    <w:rsid w:val="00AD7398"/>
    <w:rsid w:val="00AE1A59"/>
    <w:rsid w:val="00AF69A8"/>
    <w:rsid w:val="00B01CC1"/>
    <w:rsid w:val="00B1594C"/>
    <w:rsid w:val="00B43169"/>
    <w:rsid w:val="00B52326"/>
    <w:rsid w:val="00B72B5E"/>
    <w:rsid w:val="00B920F6"/>
    <w:rsid w:val="00BA4B18"/>
    <w:rsid w:val="00BA5902"/>
    <w:rsid w:val="00BE047B"/>
    <w:rsid w:val="00BF0422"/>
    <w:rsid w:val="00C107F7"/>
    <w:rsid w:val="00C166BD"/>
    <w:rsid w:val="00C21EE0"/>
    <w:rsid w:val="00C31A5C"/>
    <w:rsid w:val="00C35740"/>
    <w:rsid w:val="00C37468"/>
    <w:rsid w:val="00C605A3"/>
    <w:rsid w:val="00C66BC7"/>
    <w:rsid w:val="00C768A8"/>
    <w:rsid w:val="00C8173B"/>
    <w:rsid w:val="00C9687A"/>
    <w:rsid w:val="00CA4383"/>
    <w:rsid w:val="00CA43EB"/>
    <w:rsid w:val="00CA5E21"/>
    <w:rsid w:val="00CC7C07"/>
    <w:rsid w:val="00CE16A9"/>
    <w:rsid w:val="00D07339"/>
    <w:rsid w:val="00D226F8"/>
    <w:rsid w:val="00D2496C"/>
    <w:rsid w:val="00D4438B"/>
    <w:rsid w:val="00D4790A"/>
    <w:rsid w:val="00D60102"/>
    <w:rsid w:val="00D70522"/>
    <w:rsid w:val="00D709E0"/>
    <w:rsid w:val="00D805D5"/>
    <w:rsid w:val="00D84CC9"/>
    <w:rsid w:val="00D91BFD"/>
    <w:rsid w:val="00D92783"/>
    <w:rsid w:val="00D975AC"/>
    <w:rsid w:val="00DA745A"/>
    <w:rsid w:val="00DB1A1C"/>
    <w:rsid w:val="00DB2062"/>
    <w:rsid w:val="00DB3F6E"/>
    <w:rsid w:val="00DB7A1F"/>
    <w:rsid w:val="00DC182C"/>
    <w:rsid w:val="00DC1FE1"/>
    <w:rsid w:val="00E00CE9"/>
    <w:rsid w:val="00E00D03"/>
    <w:rsid w:val="00E10CF4"/>
    <w:rsid w:val="00E173A5"/>
    <w:rsid w:val="00E308D1"/>
    <w:rsid w:val="00E30924"/>
    <w:rsid w:val="00E32687"/>
    <w:rsid w:val="00E37D88"/>
    <w:rsid w:val="00E4178D"/>
    <w:rsid w:val="00E41EDE"/>
    <w:rsid w:val="00E43EFB"/>
    <w:rsid w:val="00E476E4"/>
    <w:rsid w:val="00E575C3"/>
    <w:rsid w:val="00E7228D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55668"/>
    <w:rsid w:val="00F90281"/>
    <w:rsid w:val="00F966F7"/>
    <w:rsid w:val="00FA0E16"/>
    <w:rsid w:val="00FB2945"/>
    <w:rsid w:val="00FB5BE7"/>
    <w:rsid w:val="00FD09BF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A118A-C40E-4251-A904-A851C4C6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</TotalTime>
  <Pages>3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10156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170</cp:revision>
  <cp:lastPrinted>2024-09-17T09:06:00Z</cp:lastPrinted>
  <dcterms:created xsi:type="dcterms:W3CDTF">2023-07-13T18:18:00Z</dcterms:created>
  <dcterms:modified xsi:type="dcterms:W3CDTF">2024-12-11T11:19:00Z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