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6F8" w:rsidRPr="005F1AD8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A2074" w:rsidRPr="005F1AD8">
        <w:rPr>
          <w:rFonts w:ascii="Times New Roman" w:hAnsi="Times New Roman" w:cs="Times New Roman"/>
          <w:sz w:val="26"/>
          <w:szCs w:val="26"/>
        </w:rPr>
        <w:t>1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к протоколу Комиссии по разработке</w:t>
      </w:r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территориальной программы </w:t>
      </w:r>
      <w:proofErr w:type="gramStart"/>
      <w:r w:rsidRPr="00E12E1D">
        <w:rPr>
          <w:rFonts w:ascii="Times New Roman" w:hAnsi="Times New Roman" w:cs="Times New Roman"/>
          <w:sz w:val="26"/>
          <w:szCs w:val="26"/>
        </w:rPr>
        <w:t>обязательного</w:t>
      </w:r>
      <w:proofErr w:type="gramEnd"/>
    </w:p>
    <w:p w:rsidR="00D226F8" w:rsidRPr="00E12E1D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>медицинского страхования</w:t>
      </w:r>
    </w:p>
    <w:p w:rsidR="00D226F8" w:rsidRPr="00997268" w:rsidRDefault="00D226F8" w:rsidP="00D226F8">
      <w:pPr>
        <w:pStyle w:val="af1"/>
        <w:jc w:val="right"/>
        <w:rPr>
          <w:rFonts w:ascii="Times New Roman" w:hAnsi="Times New Roman" w:cs="Times New Roman"/>
          <w:sz w:val="26"/>
          <w:szCs w:val="26"/>
        </w:rPr>
      </w:pPr>
      <w:r w:rsidRPr="00E12E1D">
        <w:rPr>
          <w:rFonts w:ascii="Times New Roman" w:hAnsi="Times New Roman" w:cs="Times New Roman"/>
          <w:sz w:val="26"/>
          <w:szCs w:val="26"/>
        </w:rPr>
        <w:t xml:space="preserve">от </w:t>
      </w:r>
      <w:r w:rsidR="00DA2074" w:rsidRPr="005F1AD8">
        <w:rPr>
          <w:rFonts w:ascii="Times New Roman" w:hAnsi="Times New Roman" w:cs="Times New Roman"/>
          <w:sz w:val="26"/>
          <w:szCs w:val="26"/>
        </w:rPr>
        <w:t>31</w:t>
      </w:r>
      <w:r w:rsidRPr="00E12E1D">
        <w:rPr>
          <w:rFonts w:ascii="Times New Roman" w:hAnsi="Times New Roman" w:cs="Times New Roman"/>
          <w:sz w:val="26"/>
          <w:szCs w:val="26"/>
        </w:rPr>
        <w:t>.</w:t>
      </w:r>
      <w:r w:rsidR="00DA2074" w:rsidRPr="005F1AD8">
        <w:rPr>
          <w:rFonts w:ascii="Times New Roman" w:hAnsi="Times New Roman" w:cs="Times New Roman"/>
          <w:sz w:val="26"/>
          <w:szCs w:val="26"/>
        </w:rPr>
        <w:t>10</w:t>
      </w:r>
      <w:r w:rsidRPr="00E12E1D">
        <w:rPr>
          <w:rFonts w:ascii="Times New Roman" w:hAnsi="Times New Roman" w:cs="Times New Roman"/>
          <w:sz w:val="26"/>
          <w:szCs w:val="26"/>
        </w:rPr>
        <w:t xml:space="preserve">.2024 № </w:t>
      </w:r>
      <w:r w:rsidR="00271BFE">
        <w:rPr>
          <w:rFonts w:ascii="Times New Roman" w:hAnsi="Times New Roman" w:cs="Times New Roman"/>
          <w:sz w:val="26"/>
          <w:szCs w:val="26"/>
        </w:rPr>
        <w:t>11</w:t>
      </w:r>
    </w:p>
    <w:p w:rsidR="003441E7" w:rsidRDefault="003441E7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441E7" w:rsidRDefault="003441E7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BA4B18" w:rsidRDefault="00670970">
      <w:pPr>
        <w:pStyle w:val="af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ДОПОЛНИТЕЛЬНОЕ СОГЛАШЕНИЕ №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="00417AA7">
        <w:rPr>
          <w:rFonts w:ascii="Times New Roman" w:hAnsi="Times New Roman" w:cs="Times New Roman"/>
          <w:b/>
          <w:sz w:val="26"/>
          <w:szCs w:val="26"/>
        </w:rPr>
        <w:t>6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71773F">
        <w:rPr>
          <w:rFonts w:ascii="Times New Roman" w:hAnsi="Times New Roman"/>
          <w:sz w:val="26"/>
          <w:szCs w:val="26"/>
        </w:rPr>
        <w:t xml:space="preserve">  </w:t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DA2074" w:rsidRPr="00DA2074">
        <w:rPr>
          <w:rFonts w:ascii="Times New Roman" w:hAnsi="Times New Roman"/>
          <w:sz w:val="26"/>
          <w:szCs w:val="26"/>
        </w:rPr>
        <w:t>31</w:t>
      </w:r>
      <w:r w:rsidR="00670970">
        <w:rPr>
          <w:rFonts w:ascii="Times New Roman" w:hAnsi="Times New Roman"/>
          <w:sz w:val="26"/>
          <w:szCs w:val="26"/>
        </w:rPr>
        <w:t>.</w:t>
      </w:r>
      <w:r w:rsidR="00DA2074">
        <w:rPr>
          <w:rFonts w:ascii="Times New Roman" w:hAnsi="Times New Roman"/>
          <w:sz w:val="26"/>
          <w:szCs w:val="26"/>
          <w:lang w:val="en-US"/>
        </w:rPr>
        <w:t>10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proofErr w:type="gramStart"/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в лице заместителя Председателя Правительства Ивановской области 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–</w:t>
      </w:r>
      <w:r w:rsidRPr="0029703B">
        <w:rPr>
          <w:rFonts w:ascii="Times New Roman" w:eastAsia="Times New Roman" w:hAnsi="Times New Roman"/>
          <w:sz w:val="28"/>
          <w:szCs w:val="28"/>
        </w:rPr>
        <w:t xml:space="preserve"> директора Департамента здравоохранения Ивановской области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 Арсеньева А.Е.,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</w:t>
      </w:r>
      <w:r w:rsidR="00417A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иректора </w:t>
      </w:r>
      <w:r w:rsidR="00417A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Березиной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417A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И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  <w:r w:rsidR="00417A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</w:t>
      </w:r>
      <w:r w:rsidR="00797687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Ассоциация врачей</w:t>
      </w:r>
      <w:proofErr w:type="gramEnd"/>
      <w:r w:rsidR="00797687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Ивановской области, в лице </w:t>
      </w:r>
      <w:r w:rsidR="0079768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="00797687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 w:rsidR="00797687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="00797687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 w:rsidR="00797687"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="00797687"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="00797687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 w:rsidR="0079768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="00797687"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</w:t>
      </w:r>
      <w:r w:rsidRPr="0029703B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2024 год (далее – Тарифное соглашение) о нижеследующем:</w:t>
      </w:r>
    </w:p>
    <w:p w:rsidR="0029703B" w:rsidRPr="0029703B" w:rsidRDefault="0029703B" w:rsidP="0029703B">
      <w:pPr>
        <w:widowControl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DA2074" w:rsidRPr="0029703B" w:rsidRDefault="00DA2074" w:rsidP="00DA2074">
      <w:pPr>
        <w:numPr>
          <w:ilvl w:val="0"/>
          <w:numId w:val="10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 xml:space="preserve">Внести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следующие </w:t>
      </w:r>
      <w:r w:rsidRPr="0029703B">
        <w:rPr>
          <w:rFonts w:ascii="Times New Roman" w:eastAsia="Calibri" w:hAnsi="Times New Roman"/>
          <w:sz w:val="28"/>
          <w:szCs w:val="28"/>
          <w:lang w:eastAsia="en-US"/>
        </w:rPr>
        <w:t>изменения в Тарифное соглашение:</w:t>
      </w:r>
    </w:p>
    <w:p w:rsidR="00DA2074" w:rsidRPr="000145B4" w:rsidRDefault="00DA2074" w:rsidP="00DA2074">
      <w:pPr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Подпункт 3.7.3 пункта 3.7. раздела 3 изложить в новой редакции: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«3.7.3. Расчет подушевого норматива производится с учетом Рекомендаций и отдельных положений Программы.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Базовый подушевой норматив финансирования скорой медицинской помощи, оказываемой вне медицинской организации, включает расходы на оплату медицинской помощи в рамках базовой программы обязательного медицинского страхования, в том числе скорую (специализированную) медицинскую помощь, оказываемую в экстренной и неотложной формах в соответствии с установленной единицей объема медицинской помощи – вызов, за исключением:</w:t>
      </w:r>
      <w:proofErr w:type="gramEnd"/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- </w:t>
      </w: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расходов на оплату экстренных вызовов, специализированных экстренных консультативных бригад в медицинских организациях, не имеющих прикрепленного населения; 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расходов, направляемых на оплату скорой медицинской помощи вне медицинской организации, оказывающей медицинскую помощь лицам, застрахованным за пределами Ивановской области.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Значения коэффициентов половозрастного состава обслуживаемого населения скорой медицинской помощи, уровня расходов медицинских организаций, коэффициента достижения целевых показателей уровня заработной платы медицинских работников, установленных «дорожными картами» развития здравоохранения, коэффициента дифференциации для </w:t>
      </w:r>
      <w:proofErr w:type="gramStart"/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всех медицинских организаций, финансируемых по подушевому нормативу приведены</w:t>
      </w:r>
      <w:proofErr w:type="gramEnd"/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приложении № 39 к настоящему Тарифному соглашению. 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ab/>
        <w:t>Половозрастные коэффициенты в разрезе половозрастных групп населения установлены в размере: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) женщины: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до года = 6,46141;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год – четыре года = 1,12366;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пять – семнадцать лет = 0,54777;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восемнадцать – шестьдесят четыре года = 0,70560;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- шестьдесят пять лет и старше = 2,10483. 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2) мужчины: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до года = 7,09798;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год – четыре года = 1,30532;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пять – семнадцать лет = 0,56834;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- восемнадцать – шестьдесят четыре года = 0,70490;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- шестьдесят пять лет и старше = 1,81753. </w:t>
      </w:r>
    </w:p>
    <w:p w:rsidR="00DA2074" w:rsidRPr="000145B4" w:rsidRDefault="00DA2074" w:rsidP="00DA2074">
      <w:pPr>
        <w:tabs>
          <w:tab w:val="left" w:pos="0"/>
        </w:tabs>
        <w:spacing w:line="264" w:lineRule="auto"/>
        <w:ind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Размеры дифференцированных </w:t>
      </w:r>
      <w:proofErr w:type="spellStart"/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подушевых</w:t>
      </w:r>
      <w:proofErr w:type="spellEnd"/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нормативов финансирования скорой медицинской помощи приведены в приложении № 39 к настоящему Тарифному соглашению</w:t>
      </w:r>
      <w:proofErr w:type="gramStart"/>
      <w:r w:rsidRPr="000145B4">
        <w:rPr>
          <w:rFonts w:ascii="Times New Roman" w:eastAsia="Calibri" w:hAnsi="Times New Roman"/>
          <w:bCs/>
          <w:sz w:val="28"/>
          <w:szCs w:val="28"/>
          <w:lang w:eastAsia="en-US"/>
        </w:rPr>
        <w:t>.».</w:t>
      </w:r>
      <w:proofErr w:type="gramEnd"/>
    </w:p>
    <w:p w:rsidR="00FF5D5D" w:rsidRDefault="00FF5D5D" w:rsidP="00FF5D5D">
      <w:pPr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 11 «</w:t>
      </w:r>
      <w:r w:rsidRPr="00AB2B00">
        <w:rPr>
          <w:rFonts w:ascii="Times New Roman" w:eastAsia="Calibri" w:hAnsi="Times New Roman"/>
          <w:bCs/>
          <w:sz w:val="28"/>
          <w:szCs w:val="28"/>
          <w:lang w:eastAsia="en-US"/>
        </w:rPr>
        <w:t>Тарифы на комплексное посещение по заболеванию при оказании медицинской помощи по профилю «Медицинская реабилитация» в амбулаторных условиях в рамках базовой ТПОМС, в том числе при оказании медицинской помощи на дому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DA2074" w:rsidRDefault="00DA2074" w:rsidP="00DA2074">
      <w:pPr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19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B60F3">
        <w:rPr>
          <w:rFonts w:ascii="Times New Roman" w:hAnsi="Times New Roman"/>
          <w:sz w:val="28"/>
          <w:szCs w:val="28"/>
        </w:rPr>
        <w:t>Тарифы на проведение профилактических медицинских осмотров взрослого населения, в том числе при оказании медицинской помощи мобильными бригадами и в выходн</w:t>
      </w:r>
      <w:r>
        <w:rPr>
          <w:rFonts w:ascii="Times New Roman" w:hAnsi="Times New Roman"/>
          <w:sz w:val="28"/>
          <w:szCs w:val="28"/>
        </w:rPr>
        <w:t xml:space="preserve">ые дни»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DA2074" w:rsidRDefault="00DA2074" w:rsidP="00DA2074">
      <w:pPr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Приложение №</w:t>
      </w:r>
      <w:r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25 </w:t>
      </w:r>
      <w:r>
        <w:rPr>
          <w:rFonts w:ascii="Times New Roman" w:hAnsi="Times New Roman"/>
          <w:sz w:val="28"/>
          <w:szCs w:val="28"/>
        </w:rPr>
        <w:t>«</w:t>
      </w:r>
      <w:r w:rsidRPr="00DA2243">
        <w:rPr>
          <w:rFonts w:ascii="Times New Roman" w:hAnsi="Times New Roman"/>
          <w:sz w:val="28"/>
          <w:szCs w:val="28"/>
        </w:rPr>
        <w:t>Перечень фельдшерских здравпунктов, фельдшерских, фельдшерско-акушерских пунктов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2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DA2074" w:rsidRDefault="00DA2074" w:rsidP="00DA2074">
      <w:pPr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27 </w:t>
      </w:r>
      <w:r>
        <w:rPr>
          <w:rFonts w:ascii="Times New Roman" w:hAnsi="Times New Roman"/>
          <w:sz w:val="28"/>
          <w:szCs w:val="28"/>
        </w:rPr>
        <w:t>«</w:t>
      </w:r>
      <w:r w:rsidRPr="00DA2243">
        <w:rPr>
          <w:rFonts w:ascii="Times New Roman" w:hAnsi="Times New Roman"/>
          <w:sz w:val="28"/>
          <w:szCs w:val="28"/>
        </w:rPr>
        <w:t xml:space="preserve">Размеры дифференцированных </w:t>
      </w:r>
      <w:proofErr w:type="spellStart"/>
      <w:r w:rsidRPr="00DA2243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DA2243">
        <w:rPr>
          <w:rFonts w:ascii="Times New Roman" w:hAnsi="Times New Roman"/>
          <w:sz w:val="28"/>
          <w:szCs w:val="28"/>
        </w:rPr>
        <w:t xml:space="preserve"> нормативов финансирования амбулаторной медицинской помощи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3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DA2074" w:rsidRDefault="00DA2074" w:rsidP="00DA2074">
      <w:pPr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</w:t>
      </w:r>
      <w:r>
        <w:rPr>
          <w:rFonts w:ascii="Times New Roman" w:eastAsia="Calibri" w:hAnsi="Times New Roman"/>
          <w:bCs/>
          <w:sz w:val="28"/>
          <w:szCs w:val="28"/>
          <w:lang w:val="en-US" w:eastAsia="en-US"/>
        </w:rPr>
        <w:t>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39 </w:t>
      </w:r>
      <w:r>
        <w:rPr>
          <w:rFonts w:ascii="Times New Roman" w:hAnsi="Times New Roman"/>
          <w:sz w:val="28"/>
          <w:szCs w:val="28"/>
        </w:rPr>
        <w:t>«</w:t>
      </w:r>
      <w:r w:rsidRPr="00DA2243">
        <w:rPr>
          <w:rFonts w:ascii="Times New Roman" w:hAnsi="Times New Roman"/>
          <w:sz w:val="28"/>
          <w:szCs w:val="28"/>
        </w:rPr>
        <w:t xml:space="preserve">Размеры коэффициентов и </w:t>
      </w:r>
      <w:proofErr w:type="spellStart"/>
      <w:r w:rsidRPr="00DA2243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DA2243">
        <w:rPr>
          <w:rFonts w:ascii="Times New Roman" w:hAnsi="Times New Roman"/>
          <w:sz w:val="28"/>
          <w:szCs w:val="28"/>
        </w:rPr>
        <w:t xml:space="preserve"> нормативов финансирования скорой медицинской помощи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к Тарифному соглашению изложить в новой редакции (приложение № 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4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соглашению).</w:t>
      </w:r>
    </w:p>
    <w:p w:rsidR="00DA2074" w:rsidRDefault="00DA2074" w:rsidP="00DA2074">
      <w:pPr>
        <w:tabs>
          <w:tab w:val="left" w:pos="0"/>
        </w:tabs>
        <w:spacing w:line="264" w:lineRule="auto"/>
        <w:ind w:left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DA2074" w:rsidRPr="002A2E8B" w:rsidRDefault="00DA2074" w:rsidP="00DA2074">
      <w:pPr>
        <w:tabs>
          <w:tab w:val="left" w:pos="0"/>
        </w:tabs>
        <w:spacing w:line="264" w:lineRule="auto"/>
        <w:ind w:left="567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DA2074" w:rsidRDefault="00DA2074" w:rsidP="00DA2074">
      <w:pPr>
        <w:numPr>
          <w:ilvl w:val="0"/>
          <w:numId w:val="1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703B">
        <w:rPr>
          <w:rFonts w:ascii="Times New Roman" w:eastAsia="Calibri" w:hAnsi="Times New Roman"/>
          <w:sz w:val="28"/>
          <w:szCs w:val="28"/>
          <w:lang w:eastAsia="en-US"/>
        </w:rPr>
        <w:t>Настоящее Дополнительное соглашение вступает в силу с момента подписания и распространяет свое действие</w:t>
      </w:r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FF5D5D" w:rsidRDefault="00FF5D5D" w:rsidP="00FF5D5D">
      <w:pPr>
        <w:pStyle w:val="af2"/>
        <w:numPr>
          <w:ilvl w:val="1"/>
          <w:numId w:val="1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9A3FE7"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c 01.10.2024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части пунктов 1.1, 1.4, 1.6;</w:t>
      </w:r>
    </w:p>
    <w:p w:rsidR="00FF5D5D" w:rsidRDefault="00FF5D5D" w:rsidP="00FF5D5D">
      <w:pPr>
        <w:pStyle w:val="af2"/>
        <w:numPr>
          <w:ilvl w:val="1"/>
          <w:numId w:val="1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с 01.10.2024 по 31.10.2024 включительно в части пункта 1</w:t>
      </w:r>
      <w:r w:rsidRPr="009A3FE7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5;</w:t>
      </w:r>
    </w:p>
    <w:p w:rsidR="00FF5D5D" w:rsidRPr="009A3FE7" w:rsidRDefault="00FF5D5D" w:rsidP="00FF5D5D">
      <w:pPr>
        <w:pStyle w:val="af2"/>
        <w:numPr>
          <w:ilvl w:val="1"/>
          <w:numId w:val="1"/>
        </w:numPr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правоотношения, возникшие с 01.11.2024 в части пунктов 1.2, 1.3.</w:t>
      </w:r>
    </w:p>
    <w:p w:rsidR="003441E7" w:rsidRDefault="003441E7" w:rsidP="003441E7">
      <w:pPr>
        <w:ind w:left="567"/>
        <w:jc w:val="both"/>
        <w:rPr>
          <w:rFonts w:ascii="Times New Roman" w:eastAsia="Calibri" w:hAnsi="Times New Roman"/>
          <w:b/>
          <w:szCs w:val="24"/>
        </w:rPr>
      </w:pPr>
      <w:bookmarkStart w:id="0" w:name="_GoBack"/>
      <w:bookmarkEnd w:id="0"/>
    </w:p>
    <w:p w:rsidR="003441E7" w:rsidRDefault="003441E7" w:rsidP="003441E7">
      <w:pPr>
        <w:ind w:left="567"/>
        <w:jc w:val="both"/>
        <w:rPr>
          <w:rFonts w:ascii="Times New Roman" w:eastAsia="Calibri" w:hAnsi="Times New Roman"/>
          <w:b/>
          <w:szCs w:val="24"/>
        </w:rPr>
      </w:pPr>
    </w:p>
    <w:p w:rsidR="0082149B" w:rsidRDefault="0082149B" w:rsidP="003441E7">
      <w:pPr>
        <w:ind w:left="567"/>
        <w:jc w:val="both"/>
        <w:rPr>
          <w:rFonts w:ascii="Times New Roman" w:eastAsia="Calibri" w:hAnsi="Times New Roman"/>
          <w:b/>
          <w:szCs w:val="24"/>
        </w:rPr>
      </w:pPr>
    </w:p>
    <w:p w:rsidR="0029703B" w:rsidRPr="0029703B" w:rsidRDefault="00633480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  <w:hyperlink r:id="rId9" w:history="1">
        <w:r w:rsidR="0029703B" w:rsidRPr="0029703B">
          <w:rPr>
            <w:rFonts w:ascii="Times New Roman" w:eastAsia="Calibri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29703B" w:rsidRDefault="0029703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</w:p>
    <w:p w:rsidR="0082149B" w:rsidRPr="0029703B" w:rsidRDefault="0082149B" w:rsidP="0029703B">
      <w:pPr>
        <w:spacing w:line="276" w:lineRule="auto"/>
        <w:ind w:left="-567" w:firstLine="567"/>
        <w:rPr>
          <w:rFonts w:ascii="Times New Roman" w:eastAsia="Calibri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4A0" w:firstRow="1" w:lastRow="0" w:firstColumn="1" w:lastColumn="0" w:noHBand="0" w:noVBand="1"/>
      </w:tblPr>
      <w:tblGrid>
        <w:gridCol w:w="2886"/>
        <w:gridCol w:w="25"/>
        <w:gridCol w:w="3637"/>
        <w:gridCol w:w="2772"/>
        <w:gridCol w:w="222"/>
        <w:gridCol w:w="222"/>
      </w:tblGrid>
      <w:tr w:rsidR="0029703B" w:rsidRPr="0029703B" w:rsidTr="0029703B">
        <w:trPr>
          <w:trHeight w:val="1140"/>
        </w:trPr>
        <w:tc>
          <w:tcPr>
            <w:tcW w:w="2973" w:type="dxa"/>
            <w:vAlign w:val="center"/>
          </w:tcPr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Департамента здравоохранения Ивановской области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18" w:type="dxa"/>
            <w:gridSpan w:val="2"/>
            <w:vAlign w:val="center"/>
            <w:hideMark/>
          </w:tcPr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Территориального фонда обязательного медицинского страхования</w:t>
              </w:r>
            </w:hyperlink>
          </w:p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1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 страховых медицинских организаций </w:t>
              </w:r>
            </w:hyperlink>
          </w:p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  <w:vAlign w:val="center"/>
          </w:tcPr>
          <w:p w:rsidR="0029703B" w:rsidRPr="0029703B" w:rsidRDefault="0029703B" w:rsidP="0029703B">
            <w:pPr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10"/>
        </w:trPr>
        <w:tc>
          <w:tcPr>
            <w:tcW w:w="3000" w:type="dxa"/>
            <w:gridSpan w:val="2"/>
            <w:hideMark/>
          </w:tcPr>
          <w:p w:rsidR="0029703B" w:rsidRPr="0029703B" w:rsidRDefault="0063348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</w:t>
              </w:r>
            </w:hyperlink>
          </w:p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А.Е. Арсеньев </w:t>
            </w:r>
          </w:p>
        </w:tc>
        <w:tc>
          <w:tcPr>
            <w:tcW w:w="3791" w:type="dxa"/>
            <w:hideMark/>
          </w:tcPr>
          <w:p w:rsidR="0029703B" w:rsidRPr="0029703B" w:rsidRDefault="00633480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633480" w:rsidP="0029703B">
            <w:pPr>
              <w:ind w:left="-567" w:firstLine="567"/>
              <w:contextualSpacing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1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И.Г. Березина</w:t>
              </w:r>
            </w:hyperlink>
          </w:p>
        </w:tc>
        <w:tc>
          <w:tcPr>
            <w:tcW w:w="2903" w:type="dxa"/>
            <w:hideMark/>
          </w:tcPr>
          <w:p w:rsidR="0029703B" w:rsidRPr="0029703B" w:rsidRDefault="0063348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0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63348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1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" w:type="dxa"/>
          </w:tcPr>
          <w:p w:rsidR="0029703B" w:rsidRPr="0029703B" w:rsidRDefault="0029703B" w:rsidP="0029703B">
            <w:pPr>
              <w:ind w:left="-567" w:firstLine="567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</w:tbl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p w:rsidR="0029703B" w:rsidRPr="0029703B" w:rsidRDefault="0029703B" w:rsidP="0029703B">
      <w:pPr>
        <w:widowControl w:val="0"/>
        <w:spacing w:line="120" w:lineRule="auto"/>
        <w:ind w:left="-567" w:firstLine="567"/>
        <w:rPr>
          <w:rFonts w:ascii="Times New Roman" w:eastAsia="Calibri" w:hAnsi="Times New Roman"/>
          <w:sz w:val="28"/>
          <w:szCs w:val="28"/>
        </w:rPr>
      </w:pPr>
    </w:p>
    <w:tbl>
      <w:tblPr>
        <w:tblW w:w="8324" w:type="dxa"/>
        <w:jc w:val="center"/>
        <w:tblLook w:val="04A0" w:firstRow="1" w:lastRow="0" w:firstColumn="1" w:lastColumn="0" w:noHBand="0" w:noVBand="1"/>
      </w:tblPr>
      <w:tblGrid>
        <w:gridCol w:w="3963"/>
        <w:gridCol w:w="3576"/>
        <w:gridCol w:w="785"/>
      </w:tblGrid>
      <w:tr w:rsidR="0029703B" w:rsidRPr="0029703B" w:rsidTr="0029703B">
        <w:trPr>
          <w:trHeight w:val="1271"/>
          <w:jc w:val="center"/>
        </w:trPr>
        <w:tc>
          <w:tcPr>
            <w:tcW w:w="3963" w:type="dxa"/>
            <w:vAlign w:val="center"/>
          </w:tcPr>
          <w:p w:rsidR="0029703B" w:rsidRPr="0029703B" w:rsidRDefault="0063348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2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от</w:t>
              </w:r>
            </w:hyperlink>
          </w:p>
          <w:p w:rsidR="0029703B" w:rsidRPr="0029703B" w:rsidRDefault="0063348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3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профессиональных некоммерческих организаций</w:t>
              </w:r>
            </w:hyperlink>
          </w:p>
          <w:p w:rsidR="0029703B" w:rsidRPr="0029703B" w:rsidRDefault="0029703B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3576" w:type="dxa"/>
            <w:vAlign w:val="center"/>
            <w:hideMark/>
          </w:tcPr>
          <w:p w:rsidR="0029703B" w:rsidRPr="0029703B" w:rsidRDefault="0063348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4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 xml:space="preserve">от </w:t>
              </w:r>
            </w:hyperlink>
          </w:p>
          <w:p w:rsidR="0029703B" w:rsidRPr="0029703B" w:rsidRDefault="0063348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5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профессиональных</w:t>
              </w:r>
            </w:hyperlink>
          </w:p>
          <w:p w:rsidR="0029703B" w:rsidRPr="0029703B" w:rsidRDefault="00633480" w:rsidP="0029703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6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союзов</w:t>
              </w:r>
            </w:hyperlink>
          </w:p>
          <w:p w:rsidR="0029703B" w:rsidRPr="0029703B" w:rsidRDefault="00633480" w:rsidP="0029703B">
            <w:pPr>
              <w:contextualSpacing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hyperlink r:id="rId27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медицинских работников</w:t>
              </w:r>
            </w:hyperlink>
          </w:p>
        </w:tc>
        <w:tc>
          <w:tcPr>
            <w:tcW w:w="785" w:type="dxa"/>
            <w:vAlign w:val="center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  <w:tr w:rsidR="0029703B" w:rsidRPr="0029703B" w:rsidTr="0029703B">
        <w:trPr>
          <w:trHeight w:val="457"/>
          <w:jc w:val="center"/>
        </w:trPr>
        <w:tc>
          <w:tcPr>
            <w:tcW w:w="3963" w:type="dxa"/>
            <w:hideMark/>
          </w:tcPr>
          <w:p w:rsidR="0029703B" w:rsidRPr="0029703B" w:rsidRDefault="0063348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8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_______________</w:t>
              </w:r>
            </w:hyperlink>
          </w:p>
          <w:p w:rsidR="0029703B" w:rsidRPr="0029703B" w:rsidRDefault="0029703B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И.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Е</w:t>
            </w:r>
            <w:r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 w:rsidR="003441E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Волков</w:t>
            </w:r>
          </w:p>
        </w:tc>
        <w:tc>
          <w:tcPr>
            <w:tcW w:w="3576" w:type="dxa"/>
            <w:hideMark/>
          </w:tcPr>
          <w:p w:rsidR="0029703B" w:rsidRPr="0029703B" w:rsidRDefault="00633480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hyperlink r:id="rId29" w:history="1">
              <w:r w:rsidR="0029703B" w:rsidRPr="0029703B">
                <w:rPr>
                  <w:rFonts w:ascii="Times New Roman" w:eastAsia="Calibri" w:hAnsi="Times New Roman"/>
                  <w:sz w:val="26"/>
                  <w:szCs w:val="26"/>
                  <w:lang w:eastAsia="en-US"/>
                </w:rPr>
                <w:t>______________</w:t>
              </w:r>
            </w:hyperlink>
          </w:p>
          <w:p w:rsidR="0029703B" w:rsidRPr="0029703B" w:rsidRDefault="003441E7" w:rsidP="003441E7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.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</w:t>
            </w:r>
            <w:r w:rsidR="007F4D18" w:rsidRPr="0029703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Вацуро</w:t>
            </w:r>
          </w:p>
        </w:tc>
        <w:tc>
          <w:tcPr>
            <w:tcW w:w="785" w:type="dxa"/>
          </w:tcPr>
          <w:p w:rsidR="0029703B" w:rsidRPr="0029703B" w:rsidRDefault="0029703B" w:rsidP="0029703B">
            <w:pPr>
              <w:ind w:left="-567" w:firstLine="567"/>
              <w:jc w:val="center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</w:tr>
    </w:tbl>
    <w:p w:rsidR="009B6D90" w:rsidRPr="00FB2945" w:rsidRDefault="009B6D90" w:rsidP="00A6221D">
      <w:pPr>
        <w:rPr>
          <w:rFonts w:ascii="Times New Roman" w:hAnsi="Times New Roman"/>
          <w:vanish/>
          <w:szCs w:val="24"/>
        </w:rPr>
      </w:pPr>
    </w:p>
    <w:sectPr w:rsidR="009B6D90" w:rsidRPr="00FB2945" w:rsidSect="00223DA0">
      <w:headerReference w:type="default" r:id="rId30"/>
      <w:pgSz w:w="11906" w:h="16838"/>
      <w:pgMar w:top="1134" w:right="851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480" w:rsidRDefault="00633480" w:rsidP="00947A44">
      <w:r>
        <w:separator/>
      </w:r>
    </w:p>
  </w:endnote>
  <w:endnote w:type="continuationSeparator" w:id="0">
    <w:p w:rsidR="00633480" w:rsidRDefault="00633480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480" w:rsidRDefault="00633480" w:rsidP="00947A44">
      <w:r>
        <w:separator/>
      </w:r>
    </w:p>
  </w:footnote>
  <w:footnote w:type="continuationSeparator" w:id="0">
    <w:p w:rsidR="00633480" w:rsidRDefault="00633480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525D29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FF5D5D">
          <w:rPr>
            <w:rFonts w:ascii="Times New Roman" w:hAnsi="Times New Roman"/>
            <w:noProof/>
            <w:sz w:val="20"/>
          </w:rPr>
          <w:t>3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">
    <w:nsid w:val="22A414D2"/>
    <w:multiLevelType w:val="hybridMultilevel"/>
    <w:tmpl w:val="16E010DA"/>
    <w:lvl w:ilvl="0" w:tplc="77DA49D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3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145B4"/>
    <w:rsid w:val="000336D7"/>
    <w:rsid w:val="000428F4"/>
    <w:rsid w:val="00046143"/>
    <w:rsid w:val="00053E6C"/>
    <w:rsid w:val="00065E1E"/>
    <w:rsid w:val="000752B4"/>
    <w:rsid w:val="00075F8F"/>
    <w:rsid w:val="000A1B05"/>
    <w:rsid w:val="000A5CB6"/>
    <w:rsid w:val="000D203E"/>
    <w:rsid w:val="000E71B9"/>
    <w:rsid w:val="000F1B3F"/>
    <w:rsid w:val="000F268F"/>
    <w:rsid w:val="000F40E3"/>
    <w:rsid w:val="00125F8F"/>
    <w:rsid w:val="00130E56"/>
    <w:rsid w:val="001312C5"/>
    <w:rsid w:val="001819C3"/>
    <w:rsid w:val="00185A09"/>
    <w:rsid w:val="00187438"/>
    <w:rsid w:val="0019398C"/>
    <w:rsid w:val="001B1952"/>
    <w:rsid w:val="001B58DA"/>
    <w:rsid w:val="001B692A"/>
    <w:rsid w:val="001C09CD"/>
    <w:rsid w:val="001E2F10"/>
    <w:rsid w:val="001F30B1"/>
    <w:rsid w:val="00205A50"/>
    <w:rsid w:val="00210435"/>
    <w:rsid w:val="00223DA0"/>
    <w:rsid w:val="00225546"/>
    <w:rsid w:val="002368AB"/>
    <w:rsid w:val="00253037"/>
    <w:rsid w:val="00260B07"/>
    <w:rsid w:val="00260F40"/>
    <w:rsid w:val="00271BFE"/>
    <w:rsid w:val="00271E21"/>
    <w:rsid w:val="00276C88"/>
    <w:rsid w:val="002815C8"/>
    <w:rsid w:val="0029703B"/>
    <w:rsid w:val="002970CA"/>
    <w:rsid w:val="002A2E8B"/>
    <w:rsid w:val="002F28CD"/>
    <w:rsid w:val="002F6F07"/>
    <w:rsid w:val="00317E1B"/>
    <w:rsid w:val="00321634"/>
    <w:rsid w:val="00325474"/>
    <w:rsid w:val="00327A22"/>
    <w:rsid w:val="00331DC4"/>
    <w:rsid w:val="00340F09"/>
    <w:rsid w:val="003441E7"/>
    <w:rsid w:val="00344BED"/>
    <w:rsid w:val="003450BB"/>
    <w:rsid w:val="0035705B"/>
    <w:rsid w:val="0037664B"/>
    <w:rsid w:val="0038186F"/>
    <w:rsid w:val="0038309B"/>
    <w:rsid w:val="003B0A41"/>
    <w:rsid w:val="003D7FA2"/>
    <w:rsid w:val="003E7338"/>
    <w:rsid w:val="00403512"/>
    <w:rsid w:val="00417AA7"/>
    <w:rsid w:val="00420E80"/>
    <w:rsid w:val="00434FA8"/>
    <w:rsid w:val="00445CD4"/>
    <w:rsid w:val="00446410"/>
    <w:rsid w:val="004473F4"/>
    <w:rsid w:val="00447C99"/>
    <w:rsid w:val="00450B0B"/>
    <w:rsid w:val="004551A4"/>
    <w:rsid w:val="004A27B3"/>
    <w:rsid w:val="004B37C4"/>
    <w:rsid w:val="004C24A9"/>
    <w:rsid w:val="004C6C37"/>
    <w:rsid w:val="004F0647"/>
    <w:rsid w:val="004F3497"/>
    <w:rsid w:val="00513BC7"/>
    <w:rsid w:val="00517E57"/>
    <w:rsid w:val="00525D29"/>
    <w:rsid w:val="0053596C"/>
    <w:rsid w:val="00555F55"/>
    <w:rsid w:val="00570325"/>
    <w:rsid w:val="00586A63"/>
    <w:rsid w:val="00587FC0"/>
    <w:rsid w:val="005A1017"/>
    <w:rsid w:val="005A7415"/>
    <w:rsid w:val="005C2B8A"/>
    <w:rsid w:val="005F1AD8"/>
    <w:rsid w:val="005F2275"/>
    <w:rsid w:val="006131FC"/>
    <w:rsid w:val="006158C1"/>
    <w:rsid w:val="00621446"/>
    <w:rsid w:val="006254F8"/>
    <w:rsid w:val="00625F62"/>
    <w:rsid w:val="00633480"/>
    <w:rsid w:val="00642090"/>
    <w:rsid w:val="00643CA1"/>
    <w:rsid w:val="00660DA9"/>
    <w:rsid w:val="006637DD"/>
    <w:rsid w:val="00670970"/>
    <w:rsid w:val="00690F31"/>
    <w:rsid w:val="006B4547"/>
    <w:rsid w:val="006B6303"/>
    <w:rsid w:val="006D26C7"/>
    <w:rsid w:val="0071773F"/>
    <w:rsid w:val="0072146B"/>
    <w:rsid w:val="0073012E"/>
    <w:rsid w:val="00730713"/>
    <w:rsid w:val="00735F0B"/>
    <w:rsid w:val="00742878"/>
    <w:rsid w:val="0074694A"/>
    <w:rsid w:val="00747424"/>
    <w:rsid w:val="007536F5"/>
    <w:rsid w:val="00781AEF"/>
    <w:rsid w:val="007860B9"/>
    <w:rsid w:val="00797687"/>
    <w:rsid w:val="007A0324"/>
    <w:rsid w:val="007A0550"/>
    <w:rsid w:val="007B6883"/>
    <w:rsid w:val="007E6C68"/>
    <w:rsid w:val="007F4D18"/>
    <w:rsid w:val="00802ECA"/>
    <w:rsid w:val="0082149B"/>
    <w:rsid w:val="00857448"/>
    <w:rsid w:val="008C1484"/>
    <w:rsid w:val="008F1E5F"/>
    <w:rsid w:val="008F200C"/>
    <w:rsid w:val="008F6F41"/>
    <w:rsid w:val="0090536B"/>
    <w:rsid w:val="00910B16"/>
    <w:rsid w:val="00913A2F"/>
    <w:rsid w:val="00935EAC"/>
    <w:rsid w:val="00937324"/>
    <w:rsid w:val="00947A44"/>
    <w:rsid w:val="009616A2"/>
    <w:rsid w:val="00963095"/>
    <w:rsid w:val="0097605F"/>
    <w:rsid w:val="00997268"/>
    <w:rsid w:val="009B6D90"/>
    <w:rsid w:val="009B7441"/>
    <w:rsid w:val="009C65A8"/>
    <w:rsid w:val="009F443E"/>
    <w:rsid w:val="00A16B7F"/>
    <w:rsid w:val="00A35438"/>
    <w:rsid w:val="00A370B8"/>
    <w:rsid w:val="00A45B02"/>
    <w:rsid w:val="00A47AB9"/>
    <w:rsid w:val="00A57532"/>
    <w:rsid w:val="00A6221D"/>
    <w:rsid w:val="00A7306E"/>
    <w:rsid w:val="00A812F9"/>
    <w:rsid w:val="00A85129"/>
    <w:rsid w:val="00AC4C05"/>
    <w:rsid w:val="00AD5824"/>
    <w:rsid w:val="00AD7398"/>
    <w:rsid w:val="00AE1A59"/>
    <w:rsid w:val="00AF69A8"/>
    <w:rsid w:val="00B01CC1"/>
    <w:rsid w:val="00B52326"/>
    <w:rsid w:val="00B72B5E"/>
    <w:rsid w:val="00B920F6"/>
    <w:rsid w:val="00BA4B18"/>
    <w:rsid w:val="00BA5902"/>
    <w:rsid w:val="00BF0422"/>
    <w:rsid w:val="00C107F7"/>
    <w:rsid w:val="00C21EE0"/>
    <w:rsid w:val="00C31A5C"/>
    <w:rsid w:val="00C37468"/>
    <w:rsid w:val="00C605A3"/>
    <w:rsid w:val="00C66BC7"/>
    <w:rsid w:val="00C8173B"/>
    <w:rsid w:val="00C9687A"/>
    <w:rsid w:val="00CA43EB"/>
    <w:rsid w:val="00CC7C07"/>
    <w:rsid w:val="00CE16A9"/>
    <w:rsid w:val="00D07339"/>
    <w:rsid w:val="00D226F8"/>
    <w:rsid w:val="00D4438B"/>
    <w:rsid w:val="00D4790A"/>
    <w:rsid w:val="00D60102"/>
    <w:rsid w:val="00D70522"/>
    <w:rsid w:val="00D709E0"/>
    <w:rsid w:val="00D805D5"/>
    <w:rsid w:val="00D84CC9"/>
    <w:rsid w:val="00D91BFD"/>
    <w:rsid w:val="00D975AC"/>
    <w:rsid w:val="00DA2074"/>
    <w:rsid w:val="00DA745A"/>
    <w:rsid w:val="00DB2062"/>
    <w:rsid w:val="00DB3F6E"/>
    <w:rsid w:val="00DB7A1F"/>
    <w:rsid w:val="00DC182C"/>
    <w:rsid w:val="00DC1FE1"/>
    <w:rsid w:val="00E00CE9"/>
    <w:rsid w:val="00E00D03"/>
    <w:rsid w:val="00E308D1"/>
    <w:rsid w:val="00E30924"/>
    <w:rsid w:val="00E37D88"/>
    <w:rsid w:val="00E4178D"/>
    <w:rsid w:val="00E41EDE"/>
    <w:rsid w:val="00E43EFB"/>
    <w:rsid w:val="00E476E4"/>
    <w:rsid w:val="00E56DBB"/>
    <w:rsid w:val="00E575C3"/>
    <w:rsid w:val="00E7228D"/>
    <w:rsid w:val="00E93A05"/>
    <w:rsid w:val="00E94F73"/>
    <w:rsid w:val="00E97585"/>
    <w:rsid w:val="00EA27DB"/>
    <w:rsid w:val="00EC23F8"/>
    <w:rsid w:val="00ED2340"/>
    <w:rsid w:val="00F33D8B"/>
    <w:rsid w:val="00F35C3F"/>
    <w:rsid w:val="00F414EF"/>
    <w:rsid w:val="00F454BC"/>
    <w:rsid w:val="00F5281C"/>
    <w:rsid w:val="00F5330E"/>
    <w:rsid w:val="00F90281"/>
    <w:rsid w:val="00F966F7"/>
    <w:rsid w:val="00FB2945"/>
    <w:rsid w:val="00FB5BE7"/>
    <w:rsid w:val="00FD09BF"/>
    <w:rsid w:val="00FF3A33"/>
    <w:rsid w:val="00FF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57910-04AC-4327-98B6-85A35664D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</TotalTime>
  <Pages>3</Pages>
  <Words>1281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8569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153</cp:revision>
  <cp:lastPrinted>2024-09-17T09:06:00Z</cp:lastPrinted>
  <dcterms:created xsi:type="dcterms:W3CDTF">2023-07-13T18:18:00Z</dcterms:created>
  <dcterms:modified xsi:type="dcterms:W3CDTF">2024-11-02T09:17:00Z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