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F8" w:rsidRPr="00D2496C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544F7">
        <w:rPr>
          <w:rFonts w:ascii="Times New Roman" w:hAnsi="Times New Roman" w:cs="Times New Roman"/>
          <w:sz w:val="26"/>
          <w:szCs w:val="26"/>
        </w:rPr>
        <w:t>4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D226F8" w:rsidRPr="00235DEC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от </w:t>
      </w:r>
      <w:r w:rsidR="009544F7">
        <w:rPr>
          <w:rFonts w:ascii="Times New Roman" w:hAnsi="Times New Roman" w:cs="Times New Roman"/>
          <w:sz w:val="26"/>
          <w:szCs w:val="26"/>
        </w:rPr>
        <w:t>13</w:t>
      </w:r>
      <w:r w:rsidRPr="00E12E1D">
        <w:rPr>
          <w:rFonts w:ascii="Times New Roman" w:hAnsi="Times New Roman" w:cs="Times New Roman"/>
          <w:sz w:val="26"/>
          <w:szCs w:val="26"/>
        </w:rPr>
        <w:t>.</w:t>
      </w:r>
      <w:r w:rsidR="007940BB" w:rsidRPr="00D2496C">
        <w:rPr>
          <w:rFonts w:ascii="Times New Roman" w:hAnsi="Times New Roman" w:cs="Times New Roman"/>
          <w:sz w:val="26"/>
          <w:szCs w:val="26"/>
        </w:rPr>
        <w:t>12</w:t>
      </w:r>
      <w:r w:rsidRPr="00E12E1D">
        <w:rPr>
          <w:rFonts w:ascii="Times New Roman" w:hAnsi="Times New Roman" w:cs="Times New Roman"/>
          <w:sz w:val="26"/>
          <w:szCs w:val="26"/>
        </w:rPr>
        <w:t xml:space="preserve">.2024 № </w:t>
      </w:r>
      <w:r w:rsidR="00271BFE">
        <w:rPr>
          <w:rFonts w:ascii="Times New Roman" w:hAnsi="Times New Roman" w:cs="Times New Roman"/>
          <w:sz w:val="26"/>
          <w:szCs w:val="26"/>
        </w:rPr>
        <w:t>1</w:t>
      </w:r>
      <w:r w:rsidR="009544F7">
        <w:rPr>
          <w:rFonts w:ascii="Times New Roman" w:hAnsi="Times New Roman" w:cs="Times New Roman"/>
          <w:sz w:val="26"/>
          <w:szCs w:val="26"/>
        </w:rPr>
        <w:t>4</w:t>
      </w: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9544F7">
        <w:rPr>
          <w:rFonts w:ascii="Times New Roman" w:hAnsi="Times New Roman" w:cs="Times New Roman"/>
          <w:b/>
          <w:sz w:val="26"/>
          <w:szCs w:val="26"/>
        </w:rPr>
        <w:t>8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</w:r>
      <w:r w:rsidR="00433EC2">
        <w:rPr>
          <w:rFonts w:ascii="Times New Roman" w:hAnsi="Times New Roman"/>
          <w:sz w:val="26"/>
          <w:szCs w:val="26"/>
        </w:rPr>
        <w:tab/>
      </w:r>
      <w:r w:rsidR="00433EC2"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  <w:r w:rsidR="00AF69A8">
        <w:rPr>
          <w:rFonts w:ascii="Times New Roman" w:hAnsi="Times New Roman"/>
          <w:sz w:val="26"/>
          <w:szCs w:val="26"/>
        </w:rPr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9544F7">
        <w:rPr>
          <w:rFonts w:ascii="Times New Roman" w:hAnsi="Times New Roman"/>
          <w:sz w:val="26"/>
          <w:szCs w:val="26"/>
        </w:rPr>
        <w:t>1</w:t>
      </w:r>
      <w:r w:rsidR="00C44BFD">
        <w:rPr>
          <w:rFonts w:ascii="Times New Roman" w:hAnsi="Times New Roman"/>
          <w:sz w:val="26"/>
          <w:szCs w:val="26"/>
        </w:rPr>
        <w:t>3</w:t>
      </w:r>
      <w:r w:rsidR="00670970">
        <w:rPr>
          <w:rFonts w:ascii="Times New Roman" w:hAnsi="Times New Roman"/>
          <w:sz w:val="26"/>
          <w:szCs w:val="26"/>
        </w:rPr>
        <w:t>.</w:t>
      </w:r>
      <w:r w:rsidR="007940BB" w:rsidRPr="009544F7">
        <w:rPr>
          <w:rFonts w:ascii="Times New Roman" w:hAnsi="Times New Roman"/>
          <w:sz w:val="26"/>
          <w:szCs w:val="26"/>
        </w:rPr>
        <w:t>12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Pr="0029703B" w:rsidRDefault="00462F14" w:rsidP="00462F14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</w:t>
      </w:r>
      <w:r w:rsidR="009544F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заместителя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директора Ивановского филиала АО «Страховая компания «СОГАЗ-Мед» </w:t>
      </w:r>
      <w:proofErr w:type="spellStart"/>
      <w:r w:rsidR="009544F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Тюриковой</w:t>
      </w:r>
      <w:proofErr w:type="spell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9544F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врачей 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2024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 (далее – Тарифное соглашение) о </w:t>
      </w: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нижеследующем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:</w:t>
      </w:r>
    </w:p>
    <w:p w:rsidR="00462F14" w:rsidRPr="0029703B" w:rsidRDefault="00462F14" w:rsidP="00462F14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33EC2" w:rsidRPr="0029703B" w:rsidRDefault="00433EC2" w:rsidP="00433EC2">
      <w:pPr>
        <w:numPr>
          <w:ilvl w:val="0"/>
          <w:numId w:val="10"/>
        </w:numPr>
        <w:spacing w:line="264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433EC2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Пункт 1.4. раздела 1 после двадцатого абзаца дополнить абзацем</w:t>
      </w:r>
      <w:r w:rsidRPr="00207A1B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следующего содержания:</w:t>
      </w:r>
    </w:p>
    <w:p w:rsidR="00433EC2" w:rsidRPr="00C204E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Pr="00C204E2">
        <w:rPr>
          <w:rFonts w:ascii="Times New Roman" w:hAnsi="Times New Roman"/>
          <w:b/>
          <w:bCs/>
          <w:sz w:val="28"/>
          <w:szCs w:val="28"/>
          <w:lang w:eastAsia="en-US"/>
        </w:rPr>
        <w:t>Коэффициент достижения целевых показателей уровня заработной платы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коэффициент, устанавливаемый в целях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сохранения показателей оплаты труда отдельных категорий медицинских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работников, определенных Указом Президента РФ от 07.05.2012 № 597 «О мероприятиях по реализации государственной социальной политики».».</w:t>
      </w:r>
    </w:p>
    <w:p w:rsidR="00433EC2" w:rsidRPr="00C204E2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C204E2">
        <w:rPr>
          <w:rFonts w:ascii="Times New Roman" w:hAnsi="Times New Roman"/>
          <w:bCs/>
          <w:sz w:val="28"/>
          <w:szCs w:val="28"/>
          <w:lang w:eastAsia="en-US"/>
        </w:rPr>
        <w:t>Подпункт 2.2.2. пункта 2.2. раздела 2 после второго абзаца дополнить абзацами: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госпитализации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>) по КСГ (за исключением КСГ, в составе которых установлены доли заработной платы и прочих расходов) определяется по формуле: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БС – размер базовой ставки без учета коэффициента дифференциации, рублей;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 w:rsidRPr="00397CDC"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41 к настоящему Тарифному соглашению).</w:t>
      </w:r>
    </w:p>
    <w:p w:rsidR="00433EC2" w:rsidRDefault="00433EC2" w:rsidP="00433EC2">
      <w:pPr>
        <w:spacing w:line="264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госпитализации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433EC2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433EC2" w:rsidRPr="00397CDC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 w:rsidRPr="00397CDC"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41 к настоящему Тарифному соглашению)</w:t>
      </w:r>
      <w:proofErr w:type="gram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 w:rsidRPr="00397CDC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433EC2" w:rsidRPr="00397CDC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hAnsi="Times New Roman"/>
          <w:bCs/>
          <w:sz w:val="28"/>
          <w:szCs w:val="28"/>
          <w:lang w:eastAsia="en-US"/>
        </w:rPr>
        <w:t>Подпункт 3.5.1 пункта 3.5. раздела 3 изложить в новой редакции:</w:t>
      </w:r>
    </w:p>
    <w:p w:rsidR="00433EC2" w:rsidRPr="00397CDC" w:rsidRDefault="00433EC2" w:rsidP="00433EC2">
      <w:pPr>
        <w:pStyle w:val="af2"/>
        <w:spacing w:line="264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3.5.1 </w:t>
      </w:r>
      <w:r w:rsidRPr="00397CDC">
        <w:rPr>
          <w:rFonts w:ascii="Times New Roman" w:eastAsia="Times New Roman" w:hAnsi="Times New Roman"/>
          <w:color w:val="000000"/>
          <w:sz w:val="28"/>
          <w:szCs w:val="28"/>
        </w:rPr>
        <w:t xml:space="preserve">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</w:t>
      </w:r>
      <w:r w:rsidRPr="00397CD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медицинской помощи, приведены в приложени</w:t>
      </w:r>
      <w:r w:rsidRPr="00397CDC">
        <w:rPr>
          <w:rFonts w:ascii="Times New Roman" w:hAnsi="Times New Roman"/>
          <w:color w:val="000000"/>
          <w:sz w:val="28"/>
          <w:szCs w:val="28"/>
        </w:rPr>
        <w:t>ях</w:t>
      </w:r>
      <w:r w:rsidRPr="00397CDC">
        <w:rPr>
          <w:rFonts w:ascii="Times New Roman" w:eastAsia="Times New Roman" w:hAnsi="Times New Roman"/>
          <w:color w:val="000000"/>
          <w:sz w:val="28"/>
          <w:szCs w:val="28"/>
        </w:rPr>
        <w:t xml:space="preserve"> №</w:t>
      </w:r>
      <w:r w:rsidRPr="00397CDC">
        <w:rPr>
          <w:rFonts w:ascii="Times New Roman" w:hAnsi="Times New Roman"/>
          <w:color w:val="000000"/>
          <w:sz w:val="28"/>
          <w:szCs w:val="28"/>
        </w:rPr>
        <w:t> </w:t>
      </w:r>
      <w:r w:rsidRPr="00397CDC">
        <w:rPr>
          <w:rFonts w:ascii="Times New Roman" w:eastAsia="Times New Roman" w:hAnsi="Times New Roman"/>
          <w:color w:val="000000"/>
          <w:sz w:val="28"/>
          <w:szCs w:val="28"/>
        </w:rPr>
        <w:t>28</w:t>
      </w:r>
      <w:r w:rsidRPr="00397CDC">
        <w:rPr>
          <w:rFonts w:ascii="Times New Roman" w:hAnsi="Times New Roman"/>
          <w:color w:val="000000"/>
          <w:sz w:val="28"/>
          <w:szCs w:val="28"/>
        </w:rPr>
        <w:t xml:space="preserve"> и № 28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97CDC">
        <w:rPr>
          <w:rFonts w:ascii="Times New Roman" w:eastAsia="Times New Roman" w:hAnsi="Times New Roman"/>
          <w:color w:val="000000"/>
          <w:sz w:val="28"/>
          <w:szCs w:val="28"/>
        </w:rPr>
        <w:t xml:space="preserve"> к настоящему Тарифному соглашению</w:t>
      </w:r>
      <w:proofErr w:type="gramStart"/>
      <w:r w:rsidRPr="00397CDC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397CDC"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433EC2" w:rsidRPr="003D65C6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eastAsia="Courier New" w:hAnsi="Times New Roman"/>
          <w:color w:val="000000"/>
          <w:sz w:val="28"/>
          <w:szCs w:val="28"/>
        </w:rPr>
        <w:t xml:space="preserve">Приложение 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№ 27 «Размеры дифференцированных </w:t>
      </w:r>
      <w:proofErr w:type="spellStart"/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>подушевых</w:t>
      </w:r>
      <w:proofErr w:type="spellEnd"/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 нормативов финансирования амбулаторной медицинской помощи» к Тарифному соглашению изложить в новой редакции (приложение №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1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 к настоящему Дополнительному соглашению).</w:t>
      </w:r>
    </w:p>
    <w:p w:rsidR="00433EC2" w:rsidRPr="003D65C6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D65C6">
        <w:rPr>
          <w:rFonts w:ascii="Times New Roman" w:hAnsi="Times New Roman"/>
          <w:bCs/>
          <w:sz w:val="28"/>
          <w:szCs w:val="28"/>
          <w:lang w:eastAsia="en-US"/>
        </w:rPr>
        <w:t>Приложение № 28</w:t>
      </w:r>
      <w:r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 «Тарифы на 1 случай госпитализации в стационарных условиях с учетом уровней организации медицинской помощи (в части ОБУЗ «</w:t>
      </w:r>
      <w:proofErr w:type="spellStart"/>
      <w:r w:rsidRPr="003D65C6">
        <w:rPr>
          <w:rFonts w:ascii="Times New Roman" w:hAnsi="Times New Roman"/>
          <w:bCs/>
          <w:sz w:val="28"/>
          <w:szCs w:val="28"/>
          <w:lang w:eastAsia="en-US"/>
        </w:rPr>
        <w:t>ИвОКБ</w:t>
      </w:r>
      <w:proofErr w:type="spellEnd"/>
      <w:r w:rsidRPr="003D65C6">
        <w:rPr>
          <w:rFonts w:ascii="Times New Roman" w:hAnsi="Times New Roman"/>
          <w:bCs/>
          <w:sz w:val="28"/>
          <w:szCs w:val="28"/>
          <w:lang w:eastAsia="en-US"/>
        </w:rPr>
        <w:t>», ОБУЗ «ОДКБ», ОБУЗ «ИвООД», ОГВВ, ОБУЗ «Родильный дом №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>1») к Тарифному соглашению изложить в новой редакции (приложение № </w:t>
      </w:r>
      <w:r>
        <w:rPr>
          <w:rFonts w:ascii="Times New Roman" w:hAnsi="Times New Roman"/>
          <w:bCs/>
          <w:sz w:val="28"/>
          <w:szCs w:val="28"/>
          <w:lang w:eastAsia="en-US"/>
        </w:rPr>
        <w:t>2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433EC2" w:rsidRPr="003D65C6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</w:t>
      </w:r>
      <w:r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>№ 39 «Р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азмеры коэффициентов и </w:t>
      </w:r>
      <w:proofErr w:type="spellStart"/>
      <w:r>
        <w:rPr>
          <w:rFonts w:ascii="Times New Roman" w:hAnsi="Times New Roman" w:cstheme="minorBidi"/>
          <w:bCs/>
          <w:sz w:val="28"/>
          <w:szCs w:val="28"/>
          <w:lang w:eastAsia="en-US"/>
        </w:rPr>
        <w:t>подушевых</w:t>
      </w:r>
      <w:proofErr w:type="spellEnd"/>
      <w:r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нормативов финансирования скорой медицинской помощи» к Тарифному соглашению изложить в новой редакции (приложение № 3 к настоящему Дополнительному соглашению).</w:t>
      </w:r>
    </w:p>
    <w:p w:rsidR="00433EC2" w:rsidRPr="003D65C6" w:rsidRDefault="00433EC2" w:rsidP="00433EC2">
      <w:pPr>
        <w:pStyle w:val="af2"/>
        <w:numPr>
          <w:ilvl w:val="0"/>
          <w:numId w:val="15"/>
        </w:numPr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D65C6">
        <w:rPr>
          <w:rFonts w:ascii="Times New Roman" w:hAnsi="Times New Roman"/>
          <w:bCs/>
          <w:sz w:val="28"/>
          <w:szCs w:val="28"/>
          <w:lang w:eastAsia="en-US"/>
        </w:rPr>
        <w:t>Приложение № 41 «Коэффициенты достижения уровня заработной платы медицинских работников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предусмотренного «дорожными картами» развития здравоохранения» 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>(приложение № 4 к настоящему Дополнительному соглашению).</w:t>
      </w:r>
    </w:p>
    <w:p w:rsidR="00433EC2" w:rsidRPr="003D65C6" w:rsidRDefault="00433EC2" w:rsidP="00433EC2">
      <w:pPr>
        <w:pStyle w:val="af2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0"/>
        </w:rPr>
      </w:pPr>
    </w:p>
    <w:p w:rsidR="00433EC2" w:rsidRDefault="00433EC2" w:rsidP="00433EC2">
      <w:pPr>
        <w:numPr>
          <w:ilvl w:val="0"/>
          <w:numId w:val="10"/>
        </w:numPr>
        <w:spacing w:line="264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433EC2" w:rsidRDefault="00433EC2" w:rsidP="00433EC2">
      <w:pPr>
        <w:pStyle w:val="af2"/>
        <w:numPr>
          <w:ilvl w:val="0"/>
          <w:numId w:val="13"/>
        </w:numPr>
        <w:spacing w:line="264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.1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части пунктов 1.1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1.2, 1.3;</w:t>
      </w:r>
    </w:p>
    <w:p w:rsidR="00433EC2" w:rsidRDefault="00433EC2" w:rsidP="00433EC2">
      <w:pPr>
        <w:pStyle w:val="af2"/>
        <w:numPr>
          <w:ilvl w:val="0"/>
          <w:numId w:val="13"/>
        </w:numPr>
        <w:spacing w:line="264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01.11.2024 по 30.11.2024 включительно в части пунктов 1.4, 1.5, 1.6, 1.7.</w:t>
      </w:r>
    </w:p>
    <w:p w:rsidR="00BE047B" w:rsidRDefault="00BE047B" w:rsidP="0029703B">
      <w:pPr>
        <w:spacing w:line="276" w:lineRule="auto"/>
        <w:ind w:left="-567" w:firstLine="567"/>
      </w:pPr>
    </w:p>
    <w:p w:rsidR="00BE047B" w:rsidRDefault="00BE047B" w:rsidP="0029703B">
      <w:pPr>
        <w:spacing w:line="276" w:lineRule="auto"/>
        <w:ind w:left="-567" w:firstLine="567"/>
      </w:pPr>
    </w:p>
    <w:p w:rsidR="00BE047B" w:rsidRDefault="00BE047B" w:rsidP="0029703B">
      <w:pPr>
        <w:spacing w:line="276" w:lineRule="auto"/>
        <w:ind w:left="-567" w:firstLine="567"/>
      </w:pPr>
    </w:p>
    <w:p w:rsidR="0029703B" w:rsidRPr="0029703B" w:rsidRDefault="00E167E3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E167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E167E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E167E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E167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E167E3" w:rsidP="009544F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proofErr w:type="spellStart"/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Тюрикова</w:t>
              </w:r>
              <w:proofErr w:type="spellEnd"/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E167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167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E167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E167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E167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E167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E167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E167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3441E7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433EC2">
      <w:headerReference w:type="default" r:id="rId30"/>
      <w:pgSz w:w="11906" w:h="16838"/>
      <w:pgMar w:top="567" w:right="624" w:bottom="851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E3" w:rsidRDefault="00E167E3" w:rsidP="00947A44">
      <w:r>
        <w:separator/>
      </w:r>
    </w:p>
  </w:endnote>
  <w:endnote w:type="continuationSeparator" w:id="0">
    <w:p w:rsidR="00E167E3" w:rsidRDefault="00E167E3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E3" w:rsidRDefault="00E167E3" w:rsidP="00947A44">
      <w:r>
        <w:separator/>
      </w:r>
    </w:p>
  </w:footnote>
  <w:footnote w:type="continuationSeparator" w:id="0">
    <w:p w:rsidR="00E167E3" w:rsidRDefault="00E167E3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433EC2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2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5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6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0"/>
  </w:num>
  <w:num w:numId="5">
    <w:abstractNumId w:val="3"/>
  </w:num>
  <w:num w:numId="6">
    <w:abstractNumId w:val="1"/>
  </w:num>
  <w:num w:numId="7">
    <w:abstractNumId w:val="12"/>
  </w:num>
  <w:num w:numId="8">
    <w:abstractNumId w:val="9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36D7"/>
    <w:rsid w:val="000428F4"/>
    <w:rsid w:val="00046143"/>
    <w:rsid w:val="000517D3"/>
    <w:rsid w:val="00053E6C"/>
    <w:rsid w:val="00065E1E"/>
    <w:rsid w:val="000752B4"/>
    <w:rsid w:val="00075F8F"/>
    <w:rsid w:val="000A1B05"/>
    <w:rsid w:val="000A5CB6"/>
    <w:rsid w:val="000D203E"/>
    <w:rsid w:val="000E71B9"/>
    <w:rsid w:val="000F1B3F"/>
    <w:rsid w:val="000F268F"/>
    <w:rsid w:val="000F40E3"/>
    <w:rsid w:val="00125F8F"/>
    <w:rsid w:val="00130E56"/>
    <w:rsid w:val="001312C5"/>
    <w:rsid w:val="001369A7"/>
    <w:rsid w:val="001819C3"/>
    <w:rsid w:val="00185A09"/>
    <w:rsid w:val="00187438"/>
    <w:rsid w:val="0019398C"/>
    <w:rsid w:val="001B1952"/>
    <w:rsid w:val="001B58DA"/>
    <w:rsid w:val="001B692A"/>
    <w:rsid w:val="001C09CD"/>
    <w:rsid w:val="001D02D8"/>
    <w:rsid w:val="001E2F10"/>
    <w:rsid w:val="001F30B1"/>
    <w:rsid w:val="00205A50"/>
    <w:rsid w:val="00210435"/>
    <w:rsid w:val="00223DA0"/>
    <w:rsid w:val="00225546"/>
    <w:rsid w:val="00235DEC"/>
    <w:rsid w:val="002368AB"/>
    <w:rsid w:val="00253037"/>
    <w:rsid w:val="00260B07"/>
    <w:rsid w:val="00260F40"/>
    <w:rsid w:val="00261F25"/>
    <w:rsid w:val="00271BFE"/>
    <w:rsid w:val="00271E21"/>
    <w:rsid w:val="00276C88"/>
    <w:rsid w:val="002815C8"/>
    <w:rsid w:val="0029703B"/>
    <w:rsid w:val="002970CA"/>
    <w:rsid w:val="002A2E8B"/>
    <w:rsid w:val="002C0481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73F92"/>
    <w:rsid w:val="0037664B"/>
    <w:rsid w:val="0038186F"/>
    <w:rsid w:val="0038309B"/>
    <w:rsid w:val="003B0A41"/>
    <w:rsid w:val="003D7FA2"/>
    <w:rsid w:val="003E7338"/>
    <w:rsid w:val="00417AA7"/>
    <w:rsid w:val="00420E80"/>
    <w:rsid w:val="00433EC2"/>
    <w:rsid w:val="00434FA8"/>
    <w:rsid w:val="00445CD4"/>
    <w:rsid w:val="00446410"/>
    <w:rsid w:val="004473F4"/>
    <w:rsid w:val="00447C99"/>
    <w:rsid w:val="00450B0B"/>
    <w:rsid w:val="004551A4"/>
    <w:rsid w:val="00462F14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3596C"/>
    <w:rsid w:val="00555F55"/>
    <w:rsid w:val="00570325"/>
    <w:rsid w:val="00586A63"/>
    <w:rsid w:val="00587FC0"/>
    <w:rsid w:val="005A1017"/>
    <w:rsid w:val="005A7415"/>
    <w:rsid w:val="005C2B8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60DA9"/>
    <w:rsid w:val="006637DD"/>
    <w:rsid w:val="00670970"/>
    <w:rsid w:val="00690F31"/>
    <w:rsid w:val="006B4547"/>
    <w:rsid w:val="006B6303"/>
    <w:rsid w:val="006C1536"/>
    <w:rsid w:val="006D26C7"/>
    <w:rsid w:val="0071773F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940BB"/>
    <w:rsid w:val="00797687"/>
    <w:rsid w:val="007A0324"/>
    <w:rsid w:val="007A0550"/>
    <w:rsid w:val="007B6883"/>
    <w:rsid w:val="007E6C68"/>
    <w:rsid w:val="007F4D18"/>
    <w:rsid w:val="00802ECA"/>
    <w:rsid w:val="008054CB"/>
    <w:rsid w:val="0082149B"/>
    <w:rsid w:val="00841949"/>
    <w:rsid w:val="00857448"/>
    <w:rsid w:val="00861622"/>
    <w:rsid w:val="00875178"/>
    <w:rsid w:val="00880EDE"/>
    <w:rsid w:val="008A52BD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65A8"/>
    <w:rsid w:val="009F443E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12F9"/>
    <w:rsid w:val="00A85129"/>
    <w:rsid w:val="00AB0925"/>
    <w:rsid w:val="00AD5824"/>
    <w:rsid w:val="00AD7398"/>
    <w:rsid w:val="00AE1A59"/>
    <w:rsid w:val="00AF69A8"/>
    <w:rsid w:val="00B01CC1"/>
    <w:rsid w:val="00B1594C"/>
    <w:rsid w:val="00B43169"/>
    <w:rsid w:val="00B52326"/>
    <w:rsid w:val="00B72B5E"/>
    <w:rsid w:val="00B920F6"/>
    <w:rsid w:val="00BA4B18"/>
    <w:rsid w:val="00BA5902"/>
    <w:rsid w:val="00BE047B"/>
    <w:rsid w:val="00BF0422"/>
    <w:rsid w:val="00C107F7"/>
    <w:rsid w:val="00C166BD"/>
    <w:rsid w:val="00C21EE0"/>
    <w:rsid w:val="00C31A5C"/>
    <w:rsid w:val="00C35740"/>
    <w:rsid w:val="00C37468"/>
    <w:rsid w:val="00C44BFD"/>
    <w:rsid w:val="00C605A3"/>
    <w:rsid w:val="00C66BC7"/>
    <w:rsid w:val="00C768A8"/>
    <w:rsid w:val="00C8173B"/>
    <w:rsid w:val="00C9687A"/>
    <w:rsid w:val="00CA4383"/>
    <w:rsid w:val="00CA43EB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745A"/>
    <w:rsid w:val="00DB1A1C"/>
    <w:rsid w:val="00DB2062"/>
    <w:rsid w:val="00DB3F6E"/>
    <w:rsid w:val="00DB7A1F"/>
    <w:rsid w:val="00DC182C"/>
    <w:rsid w:val="00DC1FE1"/>
    <w:rsid w:val="00DD7885"/>
    <w:rsid w:val="00E00CE9"/>
    <w:rsid w:val="00E00D03"/>
    <w:rsid w:val="00E10CF4"/>
    <w:rsid w:val="00E167E3"/>
    <w:rsid w:val="00E173A5"/>
    <w:rsid w:val="00E308D1"/>
    <w:rsid w:val="00E30924"/>
    <w:rsid w:val="00E32687"/>
    <w:rsid w:val="00E37D88"/>
    <w:rsid w:val="00E4178D"/>
    <w:rsid w:val="00E41EDE"/>
    <w:rsid w:val="00E43EFB"/>
    <w:rsid w:val="00E476E4"/>
    <w:rsid w:val="00E575C3"/>
    <w:rsid w:val="00E7228D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8DDC9-29B3-4975-8CF3-95507CB8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3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174</cp:revision>
  <cp:lastPrinted>2024-09-17T09:06:00Z</cp:lastPrinted>
  <dcterms:created xsi:type="dcterms:W3CDTF">2023-07-13T18:18:00Z</dcterms:created>
  <dcterms:modified xsi:type="dcterms:W3CDTF">2024-12-17T10:40:00Z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