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spacing w:lineRule="auto" w:line="232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29</w:t>
      </w:r>
    </w:p>
    <w:p>
      <w:pPr>
        <w:pStyle w:val="ConsPlusNormal"/>
        <w:spacing w:lineRule="auto" w:line="23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Тарифному соглашению</w:t>
      </w:r>
    </w:p>
    <w:p>
      <w:pPr>
        <w:pStyle w:val="ConsPlusNormal"/>
        <w:spacing w:lineRule="auto" w:line="23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сфере обязательного медицинского страхования</w:t>
      </w:r>
    </w:p>
    <w:p>
      <w:pPr>
        <w:pStyle w:val="ConsPlusNormal"/>
        <w:spacing w:lineRule="auto" w:line="23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территории Ивановской области на 2022 год</w:t>
      </w:r>
    </w:p>
    <w:p>
      <w:pPr>
        <w:pStyle w:val="Normal"/>
        <w:jc w:val="right"/>
        <w:rPr/>
      </w:pPr>
      <w:r>
        <w:rPr/>
      </w:r>
    </w:p>
    <w:p>
      <w:pPr>
        <w:pStyle w:val="Normal"/>
        <w:tabs>
          <w:tab w:val="clear" w:pos="720"/>
          <w:tab w:val="left" w:pos="0" w:leader="none"/>
        </w:tabs>
        <w:spacing w:lineRule="auto" w:line="276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0" w:leader="none"/>
        </w:tabs>
        <w:spacing w:lineRule="auto" w:line="276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Размеры фактических дифференцированных подушевых нормативов финансирования по всем видам и условиям предоставления медицинской помощи </w:t>
      </w:r>
    </w:p>
    <w:p>
      <w:pPr>
        <w:pStyle w:val="Normal"/>
        <w:tabs>
          <w:tab w:val="clear" w:pos="720"/>
          <w:tab w:val="left" w:pos="0" w:leader="none"/>
        </w:tabs>
        <w:spacing w:lineRule="auto" w:line="276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W w:w="8955" w:type="dxa"/>
        <w:jc w:val="left"/>
        <w:tblInd w:w="46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"/>
        <w:gridCol w:w="5611"/>
        <w:gridCol w:w="2835"/>
      </w:tblGrid>
      <w:tr>
        <w:trPr>
          <w:tblHeader w:val="true"/>
          <w:trHeight w:val="458" w:hRule="atLeast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Фактический дифференцированный подушевой норматив ФДПнi, руб.</w:t>
            </w:r>
          </w:p>
        </w:tc>
      </w:tr>
      <w:tr>
        <w:trPr>
          <w:tblHeader w:val="true"/>
          <w:trHeight w:val="2175" w:hRule="atLeast"/>
        </w:trPr>
        <w:tc>
          <w:tcPr>
            <w:tcW w:w="5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</w:r>
          </w:p>
        </w:tc>
        <w:tc>
          <w:tcPr>
            <w:tcW w:w="56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</w:r>
          </w:p>
        </w:tc>
      </w:tr>
      <w:tr>
        <w:trPr>
          <w:tblHeader w:val="true"/>
          <w:trHeight w:val="255" w:hRule="atLeast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6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>
        <w:trPr>
          <w:trHeight w:val="450" w:hRule="atLeast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612,76</w:t>
            </w:r>
          </w:p>
        </w:tc>
      </w:tr>
      <w:tr>
        <w:trPr>
          <w:trHeight w:val="450" w:hRule="atLeast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314,36</w:t>
            </w:r>
          </w:p>
        </w:tc>
      </w:tr>
      <w:tr>
        <w:trPr>
          <w:trHeight w:val="491" w:hRule="atLeast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491,26</w:t>
            </w:r>
          </w:p>
        </w:tc>
      </w:tr>
      <w:tr>
        <w:trPr>
          <w:trHeight w:val="420" w:hRule="atLeast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381,51</w:t>
            </w:r>
          </w:p>
        </w:tc>
      </w:tr>
      <w:tr>
        <w:trPr>
          <w:trHeight w:val="420" w:hRule="atLeast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386,14</w:t>
            </w:r>
          </w:p>
        </w:tc>
      </w:tr>
      <w:tr>
        <w:trPr>
          <w:trHeight w:val="420" w:hRule="atLeast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"Кохомская городская больница"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440,46</w:t>
            </w:r>
          </w:p>
        </w:tc>
      </w:tr>
      <w:tr>
        <w:trPr>
          <w:trHeight w:val="420" w:hRule="atLeast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535,88</w:t>
            </w:r>
          </w:p>
        </w:tc>
      </w:tr>
      <w:tr>
        <w:trPr>
          <w:trHeight w:val="255" w:hRule="atLeast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502,94</w:t>
            </w:r>
          </w:p>
        </w:tc>
      </w:tr>
      <w:tr>
        <w:trPr>
          <w:trHeight w:val="330" w:hRule="atLeast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6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533,76</w:t>
            </w:r>
          </w:p>
        </w:tc>
      </w:tr>
      <w:tr>
        <w:trPr>
          <w:trHeight w:val="420" w:hRule="atLeast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448,09</w:t>
            </w:r>
          </w:p>
        </w:tc>
      </w:tr>
      <w:tr>
        <w:trPr>
          <w:trHeight w:val="420" w:hRule="atLeast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1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80"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378,75</w:t>
            </w:r>
          </w:p>
        </w:tc>
      </w:tr>
    </w:tbl>
    <w:p>
      <w:pPr>
        <w:pStyle w:val="Normal"/>
        <w:rPr/>
      </w:pPr>
      <w:r>
        <w:rPr/>
        <w:t xml:space="preserve">                                                                                                                                          </w:t>
      </w:r>
    </w:p>
    <w:sectPr>
      <w:headerReference w:type="default" r:id="rId2"/>
      <w:type w:val="nextPage"/>
      <w:pgSz w:w="11906" w:h="16838"/>
      <w:pgMar w:left="1440" w:right="1166" w:header="794" w:top="1353" w:footer="0" w:bottom="73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f3a11"/>
    <w:pPr>
      <w:widowControl/>
      <w:overflowPunct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с отступом Знак"/>
    <w:basedOn w:val="DefaultParagraphFont"/>
    <w:link w:val="a3"/>
    <w:qFormat/>
    <w:rsid w:val="00af3a11"/>
    <w:rPr>
      <w:rFonts w:ascii="Arial" w:hAnsi="Arial" w:eastAsia="Times New Roman" w:cs="Times New Roman"/>
      <w:sz w:val="24"/>
      <w:szCs w:val="20"/>
      <w:lang w:eastAsia="ru-RU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8d2973"/>
    <w:rPr>
      <w:rFonts w:ascii="Segoe UI" w:hAnsi="Segoe UI" w:eastAsia="Times New Roman" w:cs="Segoe UI"/>
      <w:sz w:val="18"/>
      <w:szCs w:val="18"/>
      <w:lang w:val="ru-RU"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f3a11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4"/>
      <w:szCs w:val="20"/>
      <w:lang w:val="ru-RU" w:eastAsia="ru-RU" w:bidi="ar-SA"/>
    </w:rPr>
  </w:style>
  <w:style w:type="paragraph" w:styleId="Style21">
    <w:name w:val="Body Text Indent"/>
    <w:basedOn w:val="Normal"/>
    <w:link w:val="a4"/>
    <w:unhideWhenUsed/>
    <w:rsid w:val="00af3a11"/>
    <w:pPr>
      <w:spacing w:before="0" w:after="120"/>
      <w:ind w:left="283" w:hanging="0"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8d2973"/>
    <w:pPr/>
    <w:rPr>
      <w:rFonts w:ascii="Segoe UI" w:hAnsi="Segoe UI" w:cs="Segoe UI"/>
      <w:sz w:val="18"/>
      <w:szCs w:val="18"/>
    </w:rPr>
  </w:style>
  <w:style w:type="paragraph" w:styleId="Style22">
    <w:name w:val="Верхний и нижний колонтитулы"/>
    <w:basedOn w:val="Normal"/>
    <w:qFormat/>
    <w:pPr>
      <w:suppressLineNumbers/>
      <w:tabs>
        <w:tab w:val="clear" w:pos="720"/>
        <w:tab w:val="center" w:pos="4513" w:leader="none"/>
        <w:tab w:val="right" w:pos="9026" w:leader="none"/>
      </w:tabs>
    </w:pPr>
    <w:rPr/>
  </w:style>
  <w:style w:type="paragraph" w:styleId="Style23">
    <w:name w:val="Header"/>
    <w:basedOn w:val="Style22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LibreOffice/6.4.5.2$Windows_X86_64 LibreOffice_project/a726b36747cf2001e06b58ad5db1aa3a9a1872d6</Application>
  <Pages>1</Pages>
  <Words>101</Words>
  <Characters>612</Characters>
  <CharactersWithSpaces>809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2020-07-28T11:14:00Z</dcterms:created>
  <dc:creator>Горбунова Елена Сергеевна</dc:creator>
  <dc:description/>
  <dc:language>ru-RU</dc:language>
  <cp:lastModifiedBy/>
  <cp:lastPrinted>2022-02-03T15:40:34Z</cp:lastPrinted>
  <dcterms:modified xsi:type="dcterms:W3CDTF">2022-02-03T15:42:36Z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