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 № 12</w:t>
      </w:r>
    </w:p>
    <w:p>
      <w:pPr>
        <w:pStyle w:val="ConsPlusNormal"/>
        <w:numPr>
          <w:ilvl w:val="0"/>
          <w:numId w:val="0"/>
        </w:numPr>
        <w:ind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Дополнительному соглашению</w:t>
      </w:r>
    </w:p>
    <w:p>
      <w:pPr>
        <w:pStyle w:val="ConsPlusNormal"/>
        <w:numPr>
          <w:ilvl w:val="0"/>
          <w:numId w:val="0"/>
        </w:numPr>
        <w:ind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№ </w:t>
      </w:r>
      <w:r>
        <w:rPr>
          <w:rFonts w:cs="Times New Roman"/>
          <w:sz w:val="28"/>
          <w:szCs w:val="28"/>
        </w:rPr>
        <w:t xml:space="preserve">2 от 25.03.2022 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Тарифному соглашению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numPr>
          <w:ilvl w:val="0"/>
          <w:numId w:val="0"/>
        </w:numPr>
        <w:spacing w:lineRule="auto" w:line="230"/>
        <w:ind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территории Ивановской области на 2022 год </w:t>
      </w:r>
    </w:p>
    <w:p>
      <w:pPr>
        <w:pStyle w:val="ConsPlusNormal"/>
        <w:numPr>
          <w:ilvl w:val="0"/>
          <w:numId w:val="0"/>
        </w:numPr>
        <w:spacing w:lineRule="auto" w:line="230"/>
        <w:ind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spacing w:lineRule="auto" w:line="230"/>
        <w:ind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«Приложение № 22.1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Тарифному соглашению</w:t>
      </w:r>
    </w:p>
    <w:p>
      <w:pPr>
        <w:pStyle w:val="ConsPlusNormal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numPr>
          <w:ilvl w:val="0"/>
          <w:numId w:val="0"/>
        </w:numPr>
        <w:spacing w:lineRule="auto" w:line="230"/>
        <w:ind w:firstLine="709"/>
        <w:jc w:val="right"/>
        <w:outlineLv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территории Ивановской области на 2022 год </w:t>
      </w:r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ConsPlusTitle"/>
        <w:spacing w:before="0" w:after="200"/>
        <w:contextualSpacing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ConsPlusTitle"/>
        <w:spacing w:before="0" w:after="200"/>
        <w:contextualSpacing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>Тарифы на гемодиализ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КСГ диализа</w:t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194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74"/>
        <w:gridCol w:w="4921"/>
        <w:gridCol w:w="1191"/>
        <w:gridCol w:w="2207"/>
      </w:tblGrid>
      <w:tr>
        <w:trPr>
          <w:trHeight w:val="447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Код услуги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услуги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КСГ 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Стоимость</w:t>
            </w:r>
          </w:p>
        </w:tc>
      </w:tr>
      <w:tr>
        <w:trPr>
          <w:trHeight w:val="300" w:hRule="atLeast"/>
        </w:trPr>
        <w:tc>
          <w:tcPr>
            <w:tcW w:w="10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color w:val="000000"/>
                <w:sz w:val="28"/>
                <w:szCs w:val="28"/>
              </w:rPr>
              <w:t>казание услуг диализа (уровень 2)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A18.05.002.003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Гемодиализ интермиттирующий продленный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st36.021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18 212,89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A18.05.003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Гемофильтрация крови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st36.021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18 212,89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A18.05.003.001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Гемофильтрация крови продленная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st36.021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18 212,89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A18.05.004.001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Ультрафильтрация крови продленная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st36.021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18 212,89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A18.05.011.001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Гемодиафильтрация продленная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st36.021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18 212,89</w:t>
            </w:r>
          </w:p>
        </w:tc>
      </w:tr>
      <w:tr>
        <w:trPr>
          <w:trHeight w:val="300" w:hRule="atLeast"/>
        </w:trPr>
        <w:tc>
          <w:tcPr>
            <w:tcW w:w="10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Оказание услуг диализа (уровень 3)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A18.05.002.005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Гемодиализ продолжительный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</w:rPr>
              <w:t>st36.022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33 070,78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A18.05.003.002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Гемофильтрация крови продолжительная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</w:rPr>
              <w:t>st36.022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33 070,78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A18.05.011.002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Гемодиафильтрация продолжительная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</w:rPr>
              <w:t>st36.022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33 070,78</w:t>
            </w:r>
          </w:p>
        </w:tc>
      </w:tr>
      <w:tr>
        <w:trPr>
          <w:trHeight w:val="300" w:hRule="atLeast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/>
                <w:color w:val="000000"/>
                <w:lang w:eastAsia="ru-RU"/>
              </w:rPr>
              <w:t>A18.30.001.001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left"/>
              <w:rPr/>
            </w:pPr>
            <w:r>
              <w:rPr>
                <w:rFonts w:eastAsia="Times New Roman"/>
                <w:color w:val="000000"/>
                <w:lang w:eastAsia="ru-RU"/>
              </w:rPr>
              <w:t>Перитонеальный диализ проточный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/>
            </w:pPr>
            <w:r>
              <w:rPr>
                <w:color w:val="000000"/>
              </w:rPr>
              <w:t>st36.022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hanging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33 070,78</w:t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>
      <w:pPr>
        <w:pStyle w:val="Normal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КСГ основного патологического процесса</w:t>
      </w:r>
    </w:p>
    <w:p>
      <w:pPr>
        <w:pStyle w:val="Normal"/>
        <w:jc w:val="center"/>
        <w:rPr>
          <w:sz w:val="12"/>
          <w:szCs w:val="12"/>
          <w:lang w:val="en-US"/>
        </w:rPr>
      </w:pPr>
      <w:r>
        <w:rPr>
          <w:sz w:val="12"/>
          <w:szCs w:val="12"/>
          <w:lang w:val="en-US"/>
        </w:rPr>
      </w:r>
    </w:p>
    <w:tbl>
      <w:tblPr>
        <w:tblW w:w="10150" w:type="dxa"/>
        <w:jc w:val="left"/>
        <w:tblInd w:w="14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00"/>
        <w:gridCol w:w="8449"/>
      </w:tblGrid>
      <w:tr>
        <w:trPr>
          <w:trHeight w:val="45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textAlignment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КСГ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textAlignment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Расшифровка КСГ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st12.005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Сепсис, взрослые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st12.006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Сепсис, дети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st12.007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Сепсис с синдромом органной дисфункции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st04.006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Панкреатит с синдромом органной дисфункции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st12.013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Грипп и пневмония с синдромом органной дисфункции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st33.008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Ожоги (уровень 4,5) с синдромом органной дисфункции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st27.013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st27.012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Отравления и другие воздействия внешних причин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st04.003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Болезни печени, невирусные (уровень 1)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st04.004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Болезни печени, невирусные (уровень 2)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st05.002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Анемии (уровень 2)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st11.003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Другие болезни эндокринной системы, дети (уровень 1)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st11.004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Другие болезни эндокринной системы, дети (уровень 2)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st35.004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Другие болезни эндокринной системы, взрослые (уровень 1)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st35.005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Другие болезни эндокринной системы, взрослые (уровень 2)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st04.005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Болезни поджелудочной железы</w:t>
            </w:r>
          </w:p>
        </w:tc>
      </w:tr>
      <w:tr>
        <w:trPr>
          <w:trHeight w:val="300" w:hRule="atLeast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st32.007</w:t>
            </w:r>
          </w:p>
        </w:tc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Панкреатит, хирургическое лечение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»</w:t>
      </w:r>
    </w:p>
    <w:sectPr>
      <w:type w:val="nextPage"/>
      <w:pgSz w:w="11906" w:h="16838"/>
      <w:pgMar w:left="1188" w:right="518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327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2fee"/>
    <w:pPr>
      <w:widowControl/>
      <w:suppressAutoHyphens w:val="true"/>
      <w:bidi w:val="0"/>
      <w:spacing w:before="0" w:after="0"/>
      <w:ind w:firstLine="709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ind w:firstLine="709"/>
      <w:jc w:val="left"/>
    </w:pPr>
    <w:rPr>
      <w:rFonts w:eastAsia="Times New Roman" w:cs="Calibri" w:ascii="Times New Roman" w:hAnsi="Times New Roman"/>
      <w:b/>
      <w:color w:val="auto"/>
      <w:kern w:val="0"/>
      <w:sz w:val="24"/>
      <w:szCs w:val="20"/>
      <w:lang w:eastAsia="ru-RU" w:val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09"/>
      <w:jc w:val="left"/>
    </w:pPr>
    <w:rPr>
      <w:rFonts w:eastAsia="Times New Roman" w:cs="Calibri" w:ascii="Times New Roman" w:hAnsi="Times New Roman"/>
      <w:color w:val="auto"/>
      <w:kern w:val="0"/>
      <w:sz w:val="24"/>
      <w:szCs w:val="20"/>
      <w:lang w:eastAsia="ru-RU" w:val="ru-RU" w:bidi="ar-SA"/>
    </w:rPr>
  </w:style>
  <w:style w:type="paragraph" w:styleId="Style19" w:customStyle="1">
    <w:name w:val="Содержимое таблицы"/>
    <w:basedOn w:val="Normal"/>
    <w:qFormat/>
    <w:pPr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LibreOffice/6.4.5.2$Windows_X86_64 LibreOffice_project/a726b36747cf2001e06b58ad5db1aa3a9a1872d6</Application>
  <Pages>2</Pages>
  <Words>244</Words>
  <Characters>1759</Characters>
  <CharactersWithSpaces>2036</CharactersWithSpaces>
  <Paragraphs>94</Paragraphs>
  <Company>ТФОМС по Ивановской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2022-03-23T11:50:00Z</dcterms:created>
  <dc:creator>Алексей Баклушин</dc:creator>
  <dc:description/>
  <dc:language>ru-RU</dc:language>
  <cp:lastModifiedBy/>
  <cp:lastPrinted>2022-03-25T13:20:00Z</cp:lastPrinted>
  <dcterms:modified xsi:type="dcterms:W3CDTF">2022-03-25T14:10:11Z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