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D0BB6" w:rsidRDefault="00745AB4" w:rsidP="00E9261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№ 1</w:t>
      </w:r>
      <w:r w:rsidR="00724C4C" w:rsidRPr="009C0479">
        <w:rPr>
          <w:rFonts w:ascii="Times New Roman" w:hAnsi="Times New Roman"/>
          <w:b/>
          <w:color w:val="000000"/>
          <w:sz w:val="28"/>
        </w:rPr>
        <w:t>7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E92614" w:rsidRPr="008D0BB6">
        <w:rPr>
          <w:rFonts w:ascii="Times New Roman" w:hAnsi="Times New Roman"/>
          <w:b/>
          <w:color w:val="000000"/>
          <w:sz w:val="28"/>
        </w:rPr>
        <w:t>29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FD5254" w:rsidRPr="00162195">
        <w:rPr>
          <w:rFonts w:ascii="Times New Roman" w:hAnsi="Times New Roman"/>
          <w:b/>
          <w:color w:val="000000"/>
          <w:sz w:val="28"/>
        </w:rPr>
        <w:t>1</w:t>
      </w:r>
      <w:r w:rsidR="00724C4C" w:rsidRPr="009C0479">
        <w:rPr>
          <w:rFonts w:ascii="Times New Roman" w:hAnsi="Times New Roman"/>
          <w:b/>
          <w:color w:val="000000"/>
          <w:sz w:val="28"/>
        </w:rPr>
        <w:t>2</w:t>
      </w:r>
      <w:r w:rsidRPr="00162195">
        <w:rPr>
          <w:rFonts w:ascii="Times New Roman" w:hAnsi="Times New Roman"/>
          <w:b/>
          <w:color w:val="000000"/>
          <w:sz w:val="28"/>
        </w:rPr>
        <w:t>.2023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F23B54" w:rsidRPr="009D4798">
        <w:rPr>
          <w:rFonts w:ascii="Times New Roman" w:hAnsi="Times New Roman"/>
          <w:sz w:val="28"/>
        </w:rPr>
        <w:t>1</w:t>
      </w:r>
      <w:r w:rsidR="00F10FF6">
        <w:rPr>
          <w:rFonts w:ascii="Times New Roman" w:hAnsi="Times New Roman"/>
          <w:sz w:val="28"/>
        </w:rPr>
        <w:t>0</w:t>
      </w:r>
      <w:r w:rsidRPr="00162195">
        <w:rPr>
          <w:rFonts w:ascii="Times New Roman" w:hAnsi="Times New Roman"/>
          <w:sz w:val="28"/>
        </w:rPr>
        <w:t xml:space="preserve"> членов комиссии</w:t>
      </w:r>
    </w:p>
    <w:p w:rsidR="00F10FF6" w:rsidRDefault="00F10FF6" w:rsidP="00F10FF6">
      <w:pPr>
        <w:spacing w:line="276" w:lineRule="auto"/>
        <w:ind w:right="-143" w:firstLine="708"/>
        <w:jc w:val="both"/>
        <w:rPr>
          <w:rFonts w:ascii="Times New Roman" w:hAnsi="Times New Roman"/>
          <w:color w:val="000000"/>
          <w:sz w:val="28"/>
        </w:rPr>
      </w:pPr>
      <w:r w:rsidRPr="00124762">
        <w:rPr>
          <w:rFonts w:ascii="Times New Roman" w:hAnsi="Times New Roman"/>
          <w:sz w:val="28"/>
          <w:szCs w:val="28"/>
        </w:rPr>
        <w:t xml:space="preserve">Ввиду отсутствия секретаря Комиссии по разработке ТП ОМС                          В.В. </w:t>
      </w:r>
      <w:proofErr w:type="spellStart"/>
      <w:r w:rsidRPr="00124762">
        <w:rPr>
          <w:rFonts w:ascii="Times New Roman" w:hAnsi="Times New Roman"/>
          <w:sz w:val="28"/>
          <w:szCs w:val="28"/>
        </w:rPr>
        <w:t>Разумовой</w:t>
      </w:r>
      <w:proofErr w:type="spellEnd"/>
      <w:r w:rsidRPr="00124762">
        <w:rPr>
          <w:rFonts w:ascii="Times New Roman" w:hAnsi="Times New Roman"/>
          <w:sz w:val="28"/>
          <w:szCs w:val="28"/>
        </w:rPr>
        <w:t xml:space="preserve"> (лист временной нетрудоспособности) – исполнение обязанностей возложить на директора ТФОМС И.Г. Березину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2D4EA4" w:rsidRDefault="002D4EA4" w:rsidP="002D4EA4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261E5B">
        <w:rPr>
          <w:rFonts w:ascii="Times New Roman" w:eastAsia="Courier New" w:hAnsi="Times New Roman"/>
          <w:sz w:val="28"/>
          <w:szCs w:val="28"/>
        </w:rPr>
        <w:t xml:space="preserve">О </w:t>
      </w:r>
      <w:r w:rsidR="004C63FF">
        <w:rPr>
          <w:rFonts w:ascii="Times New Roman" w:eastAsia="Courier New" w:hAnsi="Times New Roman"/>
          <w:sz w:val="28"/>
          <w:szCs w:val="28"/>
        </w:rPr>
        <w:t xml:space="preserve">мониторинге </w:t>
      </w:r>
      <w:proofErr w:type="gramStart"/>
      <w:r w:rsidRPr="00261E5B">
        <w:rPr>
          <w:rFonts w:ascii="Times New Roman" w:eastAsia="Courier New" w:hAnsi="Times New Roman"/>
          <w:sz w:val="28"/>
          <w:szCs w:val="28"/>
        </w:rPr>
        <w:t xml:space="preserve">достижения значений показателей результативности </w:t>
      </w:r>
      <w:r>
        <w:rPr>
          <w:rFonts w:ascii="Times New Roman" w:eastAsia="Courier New" w:hAnsi="Times New Roman"/>
          <w:sz w:val="28"/>
          <w:szCs w:val="28"/>
        </w:rPr>
        <w:t>деятельности медицинских организаций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за декабрь 2022 - ноябрь 2023 года </w:t>
      </w:r>
      <w:r w:rsidR="004C63FF">
        <w:rPr>
          <w:rFonts w:ascii="Times New Roman" w:eastAsia="Courier New" w:hAnsi="Times New Roman"/>
          <w:sz w:val="28"/>
          <w:szCs w:val="28"/>
        </w:rPr>
        <w:t xml:space="preserve">и распределении </w:t>
      </w:r>
      <w:r w:rsidR="004C63FF" w:rsidRPr="00FC26D6">
        <w:rPr>
          <w:rFonts w:ascii="Times New Roman" w:eastAsia="Courier New" w:hAnsi="Times New Roman"/>
          <w:sz w:val="28"/>
          <w:szCs w:val="28"/>
        </w:rPr>
        <w:t>объема средств, направляемых на выплаты медицинским организациям в случае достижения целевых значений показателей результативности</w:t>
      </w:r>
      <w:r w:rsidR="004C63FF">
        <w:rPr>
          <w:rFonts w:ascii="Times New Roman" w:eastAsia="Courier New" w:hAnsi="Times New Roman"/>
          <w:sz w:val="28"/>
          <w:szCs w:val="28"/>
        </w:rPr>
        <w:t xml:space="preserve"> за 2023 год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1B6F80" w:rsidRPr="00724C4C" w:rsidRDefault="001B6F80" w:rsidP="001B6F80">
      <w:pPr>
        <w:numPr>
          <w:ilvl w:val="0"/>
          <w:numId w:val="1"/>
        </w:num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24C4C">
        <w:rPr>
          <w:rFonts w:ascii="Times New Roman" w:hAnsi="Times New Roman"/>
          <w:color w:val="000000" w:themeColor="text1"/>
          <w:sz w:val="28"/>
          <w:szCs w:val="28"/>
        </w:rPr>
        <w:t xml:space="preserve">О внесении изменений в Тарифное соглашение </w:t>
      </w:r>
      <w:r w:rsidRPr="00724C4C">
        <w:rPr>
          <w:rFonts w:ascii="Times New Roman" w:eastAsia="Courier New" w:hAnsi="Times New Roman"/>
          <w:color w:val="000000" w:themeColor="text1"/>
          <w:sz w:val="28"/>
          <w:szCs w:val="28"/>
        </w:rPr>
        <w:t>в сфере обязательного медицинского страхования на территории Ивановской области на 2023 г</w:t>
      </w:r>
      <w:r w:rsidR="005614D7">
        <w:rPr>
          <w:rFonts w:ascii="Times New Roman" w:eastAsia="Courier New" w:hAnsi="Times New Roman"/>
          <w:color w:val="000000" w:themeColor="text1"/>
          <w:sz w:val="28"/>
          <w:szCs w:val="28"/>
        </w:rPr>
        <w:t>од (далее – Тарифное соглашение</w:t>
      </w:r>
      <w:r w:rsidR="005614D7" w:rsidRPr="005614D7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 </w:t>
      </w:r>
      <w:r w:rsidR="005614D7">
        <w:rPr>
          <w:rFonts w:ascii="Times New Roman" w:eastAsia="Courier New" w:hAnsi="Times New Roman"/>
          <w:color w:val="000000" w:themeColor="text1"/>
          <w:sz w:val="28"/>
          <w:szCs w:val="28"/>
        </w:rPr>
        <w:t>на 2023 год)</w:t>
      </w:r>
      <w:r w:rsidRPr="00724C4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B6F80" w:rsidRPr="005E7699" w:rsidRDefault="001B6F80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5E7699" w:rsidRPr="005E7699" w:rsidRDefault="005E7699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5E7699" w:rsidRPr="005E7699" w:rsidRDefault="005E7699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5E7699" w:rsidRPr="005E7699" w:rsidRDefault="005E7699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5E7699" w:rsidRPr="002D4EA4" w:rsidRDefault="005E7699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41214F" w:rsidRPr="002D4EA4" w:rsidRDefault="0041214F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41214F" w:rsidRPr="002D4EA4" w:rsidRDefault="0041214F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41214F" w:rsidRPr="002D4EA4" w:rsidRDefault="0041214F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41214F" w:rsidRPr="002D4EA4" w:rsidRDefault="0041214F" w:rsidP="001B6F80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BE11D3" w:rsidRPr="00E92614" w:rsidRDefault="00BE11D3" w:rsidP="00BE11D3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0D70FE" w:rsidRPr="00E92614" w:rsidRDefault="000D70FE" w:rsidP="00BE11D3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0D70FE" w:rsidRPr="00E92614" w:rsidRDefault="000D70FE" w:rsidP="00BE11D3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0D70FE" w:rsidRDefault="000D70FE" w:rsidP="00BE11D3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F10FF6" w:rsidRDefault="00F10FF6" w:rsidP="00BE11D3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F10FF6" w:rsidRDefault="00F10FF6" w:rsidP="00BE11D3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F10FF6" w:rsidRPr="00E92614" w:rsidRDefault="00F10FF6" w:rsidP="00BE11D3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2445CE" w:rsidRPr="005E7699" w:rsidRDefault="002445CE" w:rsidP="00BE11D3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DF7FBE" w:rsidRDefault="00DF7FBE" w:rsidP="00BE11D3">
      <w:pPr>
        <w:spacing w:line="264" w:lineRule="auto"/>
        <w:ind w:left="360"/>
        <w:jc w:val="both"/>
        <w:rPr>
          <w:rFonts w:ascii="Times New Roman" w:eastAsia="Courier New" w:hAnsi="Times New Roman"/>
          <w:sz w:val="28"/>
          <w:szCs w:val="28"/>
        </w:rPr>
      </w:pPr>
    </w:p>
    <w:p w:rsidR="00007E5E" w:rsidRPr="00007E5E" w:rsidRDefault="00007E5E" w:rsidP="00007E5E">
      <w:pPr>
        <w:pStyle w:val="a5"/>
        <w:numPr>
          <w:ilvl w:val="0"/>
          <w:numId w:val="19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14A7D">
        <w:rPr>
          <w:rFonts w:ascii="Times New Roman" w:hAnsi="Times New Roman"/>
          <w:b/>
          <w:sz w:val="28"/>
          <w:szCs w:val="28"/>
        </w:rPr>
        <w:lastRenderedPageBreak/>
        <w:t xml:space="preserve">Слушали: </w:t>
      </w:r>
    </w:p>
    <w:p w:rsidR="004C63FF" w:rsidRDefault="00007E5E" w:rsidP="004C63FF">
      <w:pPr>
        <w:spacing w:line="264" w:lineRule="auto"/>
        <w:ind w:firstLine="720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мониторинге</w:t>
      </w:r>
      <w:r w:rsidRPr="00261E5B">
        <w:rPr>
          <w:rFonts w:ascii="Times New Roman" w:eastAsia="Courier New" w:hAnsi="Times New Roman"/>
          <w:sz w:val="28"/>
          <w:szCs w:val="28"/>
        </w:rPr>
        <w:t xml:space="preserve"> достижения значений показателей результативности </w:t>
      </w:r>
      <w:r>
        <w:rPr>
          <w:rFonts w:ascii="Times New Roman" w:eastAsia="Courier New" w:hAnsi="Times New Roman"/>
          <w:sz w:val="28"/>
          <w:szCs w:val="28"/>
        </w:rPr>
        <w:t xml:space="preserve">деятельности медицинских организаций за декабрь 2022 - ноябрь 2023 года </w:t>
      </w:r>
      <w:r w:rsidRPr="00D35AE6">
        <w:rPr>
          <w:rFonts w:ascii="Times New Roman" w:hAnsi="Times New Roman"/>
          <w:sz w:val="28"/>
          <w:szCs w:val="28"/>
        </w:rPr>
        <w:t>на основании методики оценки результативности деятельности медицинских организаций, утвержденной письмом Минздрава России от 26.01.2023</w:t>
      </w:r>
      <w:r w:rsidR="005614D7">
        <w:rPr>
          <w:rFonts w:ascii="Times New Roman" w:hAnsi="Times New Roman"/>
          <w:sz w:val="28"/>
          <w:szCs w:val="28"/>
        </w:rPr>
        <w:t xml:space="preserve">     </w:t>
      </w:r>
      <w:r w:rsidRPr="00D35AE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D35AE6">
        <w:rPr>
          <w:rFonts w:ascii="Times New Roman" w:hAnsi="Times New Roman"/>
          <w:sz w:val="28"/>
          <w:szCs w:val="28"/>
        </w:rPr>
        <w:t>31-2</w:t>
      </w:r>
      <w:proofErr w:type="gramStart"/>
      <w:r w:rsidRPr="00D35AE6">
        <w:rPr>
          <w:rFonts w:ascii="Times New Roman" w:hAnsi="Times New Roman"/>
          <w:sz w:val="28"/>
          <w:szCs w:val="28"/>
        </w:rPr>
        <w:t>/И</w:t>
      </w:r>
      <w:proofErr w:type="gramEnd"/>
      <w:r w:rsidRPr="00D35AE6">
        <w:rPr>
          <w:rFonts w:ascii="Times New Roman" w:hAnsi="Times New Roman"/>
          <w:sz w:val="28"/>
          <w:szCs w:val="28"/>
        </w:rPr>
        <w:t>/2-1075 «О методических рекомендациях по способам оплаты медицинской помощи за счет средств обязательного медицинского страхования»</w:t>
      </w:r>
      <w:r w:rsidR="004C63FF" w:rsidRPr="004C63FF">
        <w:rPr>
          <w:rFonts w:ascii="Times New Roman" w:eastAsia="Courier New" w:hAnsi="Times New Roman"/>
          <w:sz w:val="28"/>
          <w:szCs w:val="28"/>
        </w:rPr>
        <w:t xml:space="preserve"> </w:t>
      </w:r>
      <w:r w:rsidR="004C63FF">
        <w:rPr>
          <w:rFonts w:ascii="Times New Roman" w:eastAsia="Courier New" w:hAnsi="Times New Roman"/>
          <w:sz w:val="28"/>
          <w:szCs w:val="28"/>
        </w:rPr>
        <w:t xml:space="preserve">и распределении </w:t>
      </w:r>
      <w:r w:rsidR="004C63FF" w:rsidRPr="00FC26D6">
        <w:rPr>
          <w:rFonts w:ascii="Times New Roman" w:eastAsia="Courier New" w:hAnsi="Times New Roman"/>
          <w:sz w:val="28"/>
          <w:szCs w:val="28"/>
        </w:rPr>
        <w:t>объема средств, направляемых на выплаты медицинским организациям в случае достижения целевых значений показателей результативности</w:t>
      </w:r>
      <w:r w:rsidR="004C63FF">
        <w:rPr>
          <w:rFonts w:ascii="Times New Roman" w:eastAsia="Courier New" w:hAnsi="Times New Roman"/>
          <w:sz w:val="28"/>
          <w:szCs w:val="28"/>
        </w:rPr>
        <w:t xml:space="preserve"> за 2023 год.</w:t>
      </w:r>
    </w:p>
    <w:p w:rsidR="00007E5E" w:rsidRPr="00E2784D" w:rsidRDefault="00007E5E" w:rsidP="00007E5E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07E5E" w:rsidRPr="00EA1804" w:rsidRDefault="00007E5E" w:rsidP="00007E5E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59E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55627B" w:rsidRDefault="00007E5E" w:rsidP="0055627B">
      <w:pPr>
        <w:pStyle w:val="a5"/>
        <w:numPr>
          <w:ilvl w:val="1"/>
          <w:numId w:val="19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4C63FF">
        <w:rPr>
          <w:rFonts w:ascii="Times New Roman" w:eastAsia="Courier New" w:hAnsi="Times New Roman"/>
          <w:color w:val="000000"/>
          <w:sz w:val="28"/>
          <w:szCs w:val="28"/>
        </w:rPr>
        <w:t xml:space="preserve">Принять к сведению информацию о достижении медицинскими организациями значений показателей результативности </w:t>
      </w:r>
      <w:r w:rsidRPr="004C63FF">
        <w:rPr>
          <w:rFonts w:ascii="Times New Roman" w:eastAsia="Courier New" w:hAnsi="Times New Roman"/>
          <w:sz w:val="28"/>
          <w:szCs w:val="28"/>
        </w:rPr>
        <w:t xml:space="preserve">за декабрь 2022 – ноябрь 2023 года </w:t>
      </w:r>
      <w:r w:rsidRPr="004C63FF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 w:rsidR="00F10FF6"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4C63FF">
        <w:rPr>
          <w:rFonts w:ascii="Times New Roman" w:eastAsia="Courier New" w:hAnsi="Times New Roman"/>
          <w:color w:val="FF0000"/>
          <w:sz w:val="28"/>
          <w:szCs w:val="28"/>
        </w:rPr>
        <w:t xml:space="preserve"> </w:t>
      </w:r>
      <w:r w:rsidRPr="004C63FF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</w:t>
      </w:r>
      <w:r w:rsidRPr="004C63FF">
        <w:rPr>
          <w:rFonts w:ascii="Times New Roman" w:eastAsia="Courier New" w:hAnsi="Times New Roman"/>
          <w:sz w:val="28"/>
          <w:szCs w:val="28"/>
        </w:rPr>
        <w:t xml:space="preserve">. </w:t>
      </w:r>
    </w:p>
    <w:p w:rsidR="0055627B" w:rsidRDefault="00007E5E" w:rsidP="0055627B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55627B">
        <w:rPr>
          <w:rFonts w:ascii="Times New Roman" w:eastAsia="Courier New" w:hAnsi="Times New Roman"/>
          <w:sz w:val="28"/>
          <w:szCs w:val="28"/>
        </w:rPr>
        <w:t>Рекомендовать руководителям медицинских организаций провести анализ выполнения</w:t>
      </w:r>
      <w:r w:rsidRPr="0055627B">
        <w:rPr>
          <w:rFonts w:ascii="Times New Roman" w:eastAsia="Courier New" w:hAnsi="Times New Roman"/>
          <w:color w:val="000000"/>
          <w:sz w:val="28"/>
          <w:szCs w:val="28"/>
        </w:rPr>
        <w:t xml:space="preserve"> показателей результативности </w:t>
      </w:r>
      <w:r w:rsidRPr="0055627B">
        <w:rPr>
          <w:rFonts w:ascii="Times New Roman" w:eastAsia="Courier New" w:hAnsi="Times New Roman"/>
          <w:sz w:val="28"/>
          <w:szCs w:val="28"/>
        </w:rPr>
        <w:t xml:space="preserve">за декабрь 2022 – ноябрь 2023 года и усилить </w:t>
      </w:r>
      <w:proofErr w:type="gramStart"/>
      <w:r w:rsidRPr="0055627B">
        <w:rPr>
          <w:rFonts w:ascii="Times New Roman" w:eastAsia="Courier New" w:hAnsi="Times New Roman"/>
          <w:sz w:val="28"/>
          <w:szCs w:val="28"/>
        </w:rPr>
        <w:t>контроль за</w:t>
      </w:r>
      <w:proofErr w:type="gramEnd"/>
      <w:r w:rsidRPr="0055627B">
        <w:rPr>
          <w:rFonts w:ascii="Times New Roman" w:eastAsia="Courier New" w:hAnsi="Times New Roman"/>
          <w:sz w:val="28"/>
          <w:szCs w:val="28"/>
        </w:rPr>
        <w:t xml:space="preserve"> исполнением и корректным предоставлением информации по данным показателям.</w:t>
      </w:r>
    </w:p>
    <w:p w:rsidR="0055627B" w:rsidRPr="0055627B" w:rsidRDefault="004C63FF" w:rsidP="0055627B">
      <w:pPr>
        <w:pStyle w:val="a5"/>
        <w:numPr>
          <w:ilvl w:val="1"/>
          <w:numId w:val="19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 w:rsidRPr="0055627B">
        <w:rPr>
          <w:rFonts w:ascii="Times New Roman" w:hAnsi="Times New Roman"/>
          <w:color w:val="000000"/>
          <w:sz w:val="28"/>
          <w:szCs w:val="28"/>
        </w:rPr>
        <w:t xml:space="preserve">Территориальному фонду обязательного медицинского страхования Ивановской области распределить </w:t>
      </w:r>
      <w:r w:rsidRPr="0055627B">
        <w:rPr>
          <w:rFonts w:ascii="Times New Roman" w:hAnsi="Times New Roman"/>
          <w:sz w:val="28"/>
          <w:szCs w:val="28"/>
        </w:rPr>
        <w:t>с учетом выполнения медицинскими организациями показателей результативности деятельности</w:t>
      </w:r>
      <w:r w:rsidRPr="0055627B">
        <w:rPr>
          <w:rFonts w:ascii="Times New Roman" w:hAnsi="Times New Roman"/>
          <w:color w:val="000000"/>
          <w:sz w:val="28"/>
          <w:szCs w:val="28"/>
        </w:rPr>
        <w:t xml:space="preserve"> за 2023 год средства, направляемые на выплаты медицинским организациям в соответстви</w:t>
      </w:r>
      <w:r w:rsidR="005614D7">
        <w:rPr>
          <w:rFonts w:ascii="Times New Roman" w:hAnsi="Times New Roman"/>
          <w:color w:val="000000"/>
          <w:sz w:val="28"/>
          <w:szCs w:val="28"/>
        </w:rPr>
        <w:t>и</w:t>
      </w:r>
      <w:r w:rsidRPr="0055627B">
        <w:rPr>
          <w:rFonts w:ascii="Times New Roman" w:hAnsi="Times New Roman"/>
          <w:color w:val="000000"/>
          <w:sz w:val="28"/>
          <w:szCs w:val="28"/>
        </w:rPr>
        <w:t xml:space="preserve"> с приложением № 2</w:t>
      </w:r>
      <w:r w:rsidR="0055627B">
        <w:rPr>
          <w:rFonts w:ascii="Times New Roman" w:hAnsi="Times New Roman"/>
          <w:color w:val="000000"/>
          <w:sz w:val="28"/>
          <w:szCs w:val="28"/>
        </w:rPr>
        <w:t>7</w:t>
      </w:r>
      <w:r w:rsidRPr="0055627B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55627B">
        <w:rPr>
          <w:rFonts w:ascii="Times New Roman" w:hAnsi="Times New Roman"/>
          <w:bCs/>
          <w:color w:val="000000"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</w:t>
      </w:r>
      <w:r w:rsidRPr="0055627B">
        <w:rPr>
          <w:rFonts w:ascii="Times New Roman" w:hAnsi="Times New Roman"/>
          <w:color w:val="000000"/>
          <w:sz w:val="28"/>
          <w:szCs w:val="28"/>
        </w:rPr>
        <w:t>» к Тарифному</w:t>
      </w:r>
      <w:proofErr w:type="gramEnd"/>
      <w:r w:rsidRPr="0055627B">
        <w:rPr>
          <w:rFonts w:ascii="Times New Roman" w:hAnsi="Times New Roman"/>
          <w:color w:val="000000"/>
          <w:sz w:val="28"/>
          <w:szCs w:val="28"/>
        </w:rPr>
        <w:t xml:space="preserve"> соглашению </w:t>
      </w:r>
      <w:r w:rsidR="005614D7">
        <w:rPr>
          <w:rFonts w:ascii="Times New Roman" w:hAnsi="Times New Roman"/>
          <w:color w:val="000000"/>
          <w:sz w:val="28"/>
          <w:szCs w:val="28"/>
        </w:rPr>
        <w:t xml:space="preserve">на 2023 год </w:t>
      </w:r>
      <w:r w:rsidRPr="0055627B">
        <w:rPr>
          <w:rFonts w:ascii="Times New Roman" w:hAnsi="Times New Roman"/>
          <w:color w:val="000000"/>
          <w:sz w:val="28"/>
          <w:szCs w:val="28"/>
        </w:rPr>
        <w:t xml:space="preserve">(приложение </w:t>
      </w:r>
      <w:r w:rsidR="009D4798" w:rsidRPr="005614D7">
        <w:rPr>
          <w:rFonts w:ascii="Times New Roman" w:hAnsi="Times New Roman"/>
          <w:sz w:val="28"/>
          <w:szCs w:val="28"/>
        </w:rPr>
        <w:t>2</w:t>
      </w:r>
      <w:r w:rsidRPr="0055627B">
        <w:rPr>
          <w:rFonts w:ascii="Times New Roman" w:hAnsi="Times New Roman"/>
          <w:color w:val="000000"/>
          <w:sz w:val="28"/>
          <w:szCs w:val="28"/>
        </w:rPr>
        <w:t xml:space="preserve"> к протоколу Комиссии).</w:t>
      </w:r>
    </w:p>
    <w:p w:rsidR="004C63FF" w:rsidRPr="0055627B" w:rsidRDefault="004C63FF" w:rsidP="0055627B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55627B">
        <w:rPr>
          <w:rFonts w:ascii="Times New Roman" w:hAnsi="Times New Roman"/>
          <w:color w:val="000000"/>
          <w:sz w:val="28"/>
          <w:szCs w:val="28"/>
        </w:rPr>
        <w:t>Страховой медицинской организации Ивановский филиал АО «Страховая компания «СОГАЗ-Мед» средства, сформированные по показателям результативности деятельности медицинских организаций направить в медицинские организации в окончательный расчет за декабрь 202</w:t>
      </w:r>
      <w:r w:rsidR="0055627B">
        <w:rPr>
          <w:rFonts w:ascii="Times New Roman" w:hAnsi="Times New Roman"/>
          <w:color w:val="000000"/>
          <w:sz w:val="28"/>
          <w:szCs w:val="28"/>
        </w:rPr>
        <w:t>3</w:t>
      </w:r>
      <w:r w:rsidRPr="0055627B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007E5E" w:rsidRDefault="00007E5E" w:rsidP="00007E5E">
      <w:pPr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0FA9">
        <w:rPr>
          <w:rFonts w:ascii="Times New Roman" w:hAnsi="Times New Roman"/>
          <w:b/>
          <w:sz w:val="28"/>
          <w:szCs w:val="28"/>
        </w:rPr>
        <w:t>Голосование:</w:t>
      </w:r>
      <w:r w:rsidRPr="00490FA9">
        <w:rPr>
          <w:rFonts w:ascii="Times New Roman" w:hAnsi="Times New Roman"/>
          <w:sz w:val="28"/>
          <w:szCs w:val="28"/>
        </w:rPr>
        <w:t xml:space="preserve"> </w:t>
      </w:r>
      <w:r w:rsidRPr="0029759E">
        <w:rPr>
          <w:rFonts w:ascii="Times New Roman" w:hAnsi="Times New Roman"/>
          <w:sz w:val="28"/>
          <w:szCs w:val="28"/>
        </w:rPr>
        <w:t>единогласно.</w:t>
      </w:r>
    </w:p>
    <w:p w:rsidR="0055627B" w:rsidRPr="00EC6244" w:rsidRDefault="0055627B" w:rsidP="00EC6244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C6244" w:rsidRDefault="00EC6244" w:rsidP="00EC6244">
      <w:pPr>
        <w:pStyle w:val="a5"/>
        <w:numPr>
          <w:ilvl w:val="0"/>
          <w:numId w:val="19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D14A7D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1B6F80" w:rsidRPr="007B08CD" w:rsidRDefault="001B6F80" w:rsidP="00C94859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Тарифное соглашение на 2023 год, в том числе в связи с устранением замечаний Федерального фонда обязательного медицинского страхования </w:t>
      </w:r>
      <w:r w:rsidRPr="007345DC">
        <w:rPr>
          <w:rFonts w:ascii="Times New Roman" w:hAnsi="Times New Roman"/>
          <w:sz w:val="28"/>
          <w:szCs w:val="28"/>
        </w:rPr>
        <w:t xml:space="preserve">от </w:t>
      </w:r>
      <w:r w:rsidR="00EC6244" w:rsidRPr="007345DC">
        <w:rPr>
          <w:rFonts w:ascii="Times New Roman" w:hAnsi="Times New Roman"/>
          <w:sz w:val="28"/>
          <w:szCs w:val="28"/>
        </w:rPr>
        <w:t>12</w:t>
      </w:r>
      <w:r w:rsidRPr="007345DC">
        <w:rPr>
          <w:rFonts w:ascii="Times New Roman" w:hAnsi="Times New Roman"/>
          <w:sz w:val="28"/>
          <w:szCs w:val="28"/>
        </w:rPr>
        <w:t>.</w:t>
      </w:r>
      <w:r w:rsidR="00EC6244" w:rsidRPr="007345DC">
        <w:rPr>
          <w:rFonts w:ascii="Times New Roman" w:hAnsi="Times New Roman"/>
          <w:sz w:val="28"/>
          <w:szCs w:val="28"/>
        </w:rPr>
        <w:t>12</w:t>
      </w:r>
      <w:r w:rsidRPr="007345DC">
        <w:rPr>
          <w:rFonts w:ascii="Times New Roman" w:hAnsi="Times New Roman"/>
          <w:sz w:val="28"/>
          <w:szCs w:val="28"/>
        </w:rPr>
        <w:t>.2023 №</w:t>
      </w:r>
      <w:r w:rsidR="00237D15" w:rsidRPr="007345DC">
        <w:rPr>
          <w:rFonts w:ascii="Times New Roman" w:hAnsi="Times New Roman"/>
          <w:sz w:val="28"/>
          <w:szCs w:val="28"/>
        </w:rPr>
        <w:t> </w:t>
      </w:r>
      <w:r w:rsidR="00EC6244" w:rsidRPr="007345DC">
        <w:rPr>
          <w:rFonts w:ascii="Times New Roman" w:hAnsi="Times New Roman"/>
          <w:sz w:val="28"/>
          <w:szCs w:val="28"/>
        </w:rPr>
        <w:t>00-10-26-1-06/21194</w:t>
      </w:r>
      <w:r w:rsidRPr="007345DC">
        <w:rPr>
          <w:rFonts w:ascii="Times New Roman" w:hAnsi="Times New Roman"/>
          <w:sz w:val="28"/>
          <w:szCs w:val="28"/>
        </w:rPr>
        <w:t>:</w:t>
      </w:r>
    </w:p>
    <w:p w:rsidR="008D0BB6" w:rsidRPr="008D0BB6" w:rsidRDefault="008D0BB6" w:rsidP="008D0BB6">
      <w:pPr>
        <w:pStyle w:val="a5"/>
        <w:numPr>
          <w:ilvl w:val="1"/>
          <w:numId w:val="19"/>
        </w:numPr>
        <w:suppressAutoHyphens/>
        <w:spacing w:line="276" w:lineRule="auto"/>
        <w:ind w:hanging="862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8D0BB6">
        <w:rPr>
          <w:rFonts w:ascii="Times New Roman" w:hAnsi="Times New Roman"/>
          <w:bCs/>
          <w:sz w:val="28"/>
          <w:szCs w:val="28"/>
          <w:lang w:eastAsia="en-US"/>
        </w:rPr>
        <w:t>В тексте тарифного соглашения:</w:t>
      </w:r>
    </w:p>
    <w:p w:rsidR="008D0BB6" w:rsidRDefault="008D0BB6" w:rsidP="008D0BB6">
      <w:pPr>
        <w:pStyle w:val="a5"/>
        <w:numPr>
          <w:ilvl w:val="2"/>
          <w:numId w:val="19"/>
        </w:numPr>
        <w:suppressAutoHyphens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>Подпун</w:t>
      </w:r>
      <w:r w:rsidR="007D472D">
        <w:rPr>
          <w:rFonts w:ascii="Times New Roman" w:hAnsi="Times New Roman"/>
          <w:bCs/>
          <w:sz w:val="28"/>
          <w:szCs w:val="28"/>
          <w:lang w:eastAsia="en-US"/>
        </w:rPr>
        <w:t>к</w:t>
      </w:r>
      <w:r>
        <w:rPr>
          <w:rFonts w:ascii="Times New Roman" w:hAnsi="Times New Roman"/>
          <w:bCs/>
          <w:sz w:val="28"/>
          <w:szCs w:val="28"/>
          <w:lang w:eastAsia="en-US"/>
        </w:rPr>
        <w:t>т 2.2.2. пункта 2.2. раздела 2 после второго абзаца дополнить абзацами: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«Стоимость одного случая госпитализации (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ССксг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>) по КСГ (за исключением КСГ, в составе которых установлены доли заработной платы и прочих расходов) определяется по формуле: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45 к настоящему Тарифному соглашению).</w:t>
      </w:r>
    </w:p>
    <w:p w:rsidR="008D0BB6" w:rsidRDefault="008D0BB6" w:rsidP="008D0BB6">
      <w:pPr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Стоимость одного случая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госпитализации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по КСГ в составе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которых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установлены доли заработной платы и прочих расходов определяется по формуле: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((1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–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) +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КД</w:t>
      </w:r>
      <w:r w:rsidRPr="00020996">
        <w:rPr>
          <w:rFonts w:ascii="Times New Roman" w:hAnsi="Times New Roman"/>
          <w:b/>
          <w:bCs/>
          <w:sz w:val="25"/>
          <w:szCs w:val="25"/>
          <w:lang w:eastAsia="en-US"/>
        </w:rPr>
        <w:t>)</w:t>
      </w:r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доля заработной платы и прочих расходов в структуре стоимости КСГ (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установленное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Приложением № 4 к Программе);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45 к настоящему Тарифному соглашению)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.»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8D0BB6" w:rsidRDefault="008D0BB6" w:rsidP="008D0BB6">
      <w:pPr>
        <w:pStyle w:val="a5"/>
        <w:numPr>
          <w:ilvl w:val="2"/>
          <w:numId w:val="19"/>
        </w:numPr>
        <w:suppressAutoHyphens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Подпун</w:t>
      </w:r>
      <w:r w:rsidR="007D472D">
        <w:rPr>
          <w:rFonts w:ascii="Times New Roman" w:hAnsi="Times New Roman"/>
          <w:bCs/>
          <w:sz w:val="28"/>
          <w:szCs w:val="28"/>
          <w:lang w:eastAsia="en-US"/>
        </w:rPr>
        <w:t>к</w:t>
      </w:r>
      <w:r>
        <w:rPr>
          <w:rFonts w:ascii="Times New Roman" w:hAnsi="Times New Roman"/>
          <w:bCs/>
          <w:sz w:val="28"/>
          <w:szCs w:val="28"/>
          <w:lang w:eastAsia="en-US"/>
        </w:rPr>
        <w:t>т 2.2.3. пункта 2.2. раздела 2 после второго абзаца дополнить абзацами: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«Стоимость одного случая лечения (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ССксг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) по КСГ (за исключением </w:t>
      </w:r>
      <w:bookmarkStart w:id="1" w:name="_GoBack2"/>
      <w:bookmarkEnd w:id="1"/>
      <w:r>
        <w:rPr>
          <w:rFonts w:ascii="Times New Roman" w:hAnsi="Times New Roman"/>
          <w:bCs/>
          <w:sz w:val="28"/>
          <w:szCs w:val="28"/>
          <w:lang w:eastAsia="en-US"/>
        </w:rPr>
        <w:t>КСГ, в составе которых установлены доли заработной платы и прочих расходов) определяется по формуле: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45 к настоящему Тарифному соглашению).</w:t>
      </w:r>
    </w:p>
    <w:p w:rsidR="008D0BB6" w:rsidRDefault="008D0BB6" w:rsidP="008D0BB6">
      <w:pPr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Стоимость одного случая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лечения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по КСГ в составе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которых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установлены доли заработной платы и прочих расходов определяется по формуле: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((1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–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) +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КД</w:t>
      </w:r>
      <w:r w:rsidRPr="00020996">
        <w:rPr>
          <w:rFonts w:ascii="Times New Roman" w:hAnsi="Times New Roman"/>
          <w:b/>
          <w:bCs/>
          <w:sz w:val="25"/>
          <w:szCs w:val="25"/>
          <w:lang w:eastAsia="en-US"/>
        </w:rPr>
        <w:t>)</w:t>
      </w:r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>БС – размер базовой ставки без учета коэффициента дифференциации, рублей;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доля заработной платы и прочих расходов в структуре стоимости КСГ (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установленное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Приложением № 4 к Программе);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8D0BB6" w:rsidRDefault="008D0BB6" w:rsidP="008D0BB6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45 к настоящему Тарифному соглашению)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.»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8D0BB6" w:rsidRDefault="008D0BB6" w:rsidP="008D0BB6">
      <w:pPr>
        <w:pStyle w:val="a5"/>
        <w:numPr>
          <w:ilvl w:val="2"/>
          <w:numId w:val="19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В подпункте 3.4.1. пункта 3.4. раздела 3:</w:t>
      </w:r>
    </w:p>
    <w:p w:rsidR="008D0BB6" w:rsidRDefault="008D0BB6" w:rsidP="008D0BB6">
      <w:pPr>
        <w:pStyle w:val="a5"/>
        <w:spacing w:line="276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В абзаце 3 цифры «1 725,7» заменить цифрами «1 727,1»;</w:t>
      </w:r>
    </w:p>
    <w:p w:rsidR="008D0BB6" w:rsidRDefault="008D0BB6" w:rsidP="008D0BB6">
      <w:pPr>
        <w:pStyle w:val="a5"/>
        <w:spacing w:line="276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В абзаце 15 цифры «368,4» заменить цифрами «367,5»;</w:t>
      </w:r>
    </w:p>
    <w:p w:rsidR="008D0BB6" w:rsidRDefault="008D0BB6" w:rsidP="008D0BB6">
      <w:pPr>
        <w:pStyle w:val="a5"/>
        <w:numPr>
          <w:ilvl w:val="2"/>
          <w:numId w:val="19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 В пункте 4.1. раздела 4:</w:t>
      </w:r>
    </w:p>
    <w:p w:rsidR="008D0BB6" w:rsidRDefault="008D0BB6" w:rsidP="008D0BB6">
      <w:pPr>
        <w:pStyle w:val="a5"/>
        <w:spacing w:line="276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В абзаце 3 цифры «5 994,3» заменить цифрами «5 995,0»;</w:t>
      </w:r>
    </w:p>
    <w:p w:rsidR="008D0BB6" w:rsidRDefault="008D0BB6" w:rsidP="008D0BB6">
      <w:pPr>
        <w:pStyle w:val="a5"/>
        <w:spacing w:line="276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В абзаце 10 цифры «146,1» заменить цифрами «149,6».</w:t>
      </w:r>
    </w:p>
    <w:p w:rsidR="008D0BB6" w:rsidRDefault="008D0BB6" w:rsidP="008D0BB6">
      <w:pPr>
        <w:pStyle w:val="a5"/>
        <w:numPr>
          <w:ilvl w:val="2"/>
          <w:numId w:val="19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В тексте тарифного соглашения исключить:</w:t>
      </w:r>
    </w:p>
    <w:p w:rsidR="008D0BB6" w:rsidRDefault="008D0BB6" w:rsidP="008D0BB6">
      <w:pPr>
        <w:pStyle w:val="a5"/>
        <w:spacing w:line="276" w:lineRule="auto"/>
        <w:ind w:left="567" w:firstLine="24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Абзац 28 подпункта 3.4.3 пункта 3.4 раздела 3;</w:t>
      </w:r>
    </w:p>
    <w:p w:rsidR="008D0BB6" w:rsidRDefault="008D0BB6" w:rsidP="008D0BB6">
      <w:pPr>
        <w:pStyle w:val="a5"/>
        <w:spacing w:line="276" w:lineRule="auto"/>
        <w:ind w:left="567" w:firstLine="24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Абзац 6 подпункта 3.7.3 пункта 3.</w:t>
      </w:r>
      <w:r w:rsidR="004A2166">
        <w:rPr>
          <w:rFonts w:ascii="Times New Roman" w:hAnsi="Times New Roman"/>
          <w:bCs/>
          <w:sz w:val="28"/>
          <w:szCs w:val="28"/>
          <w:lang w:eastAsia="en-US"/>
        </w:rPr>
        <w:t>7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раздела 3.</w:t>
      </w:r>
    </w:p>
    <w:p w:rsidR="008D0BB6" w:rsidRDefault="008D0BB6" w:rsidP="008D0BB6">
      <w:pPr>
        <w:pStyle w:val="a5"/>
        <w:numPr>
          <w:ilvl w:val="1"/>
          <w:numId w:val="19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3 «Перечень медицинских организаций, оказывающих медицинскую помощь в стационарных условиях по базовой и сверхбазовой ТПОМС с учетом уровня организации медицинской помощи и способов оплаты, включая ВМП и медицинские услуги»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к Тарифному соглашению изложить в новой редакции </w:t>
      </w:r>
      <w:r w:rsidR="00DC7EDF">
        <w:rPr>
          <w:rFonts w:ascii="Times New Roman" w:hAnsi="Times New Roman"/>
          <w:bCs/>
          <w:sz w:val="28"/>
          <w:szCs w:val="28"/>
          <w:lang w:eastAsia="en-US"/>
        </w:rPr>
        <w:t xml:space="preserve">(действует с 01.12.2023) </w:t>
      </w:r>
      <w:r>
        <w:rPr>
          <w:rFonts w:ascii="Times New Roman" w:hAnsi="Times New Roman"/>
          <w:bCs/>
          <w:sz w:val="28"/>
          <w:szCs w:val="28"/>
          <w:lang w:eastAsia="en-US"/>
        </w:rPr>
        <w:t>(приложение № 1 к настоящему Дополнительному соглашению).</w:t>
      </w:r>
    </w:p>
    <w:p w:rsidR="008D0BB6" w:rsidRDefault="008D0BB6" w:rsidP="008D0BB6">
      <w:pPr>
        <w:pStyle w:val="a5"/>
        <w:numPr>
          <w:ilvl w:val="1"/>
          <w:numId w:val="19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Приложение № 28 «Размеры фактических дифференцированных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подушевых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 нормативов финансирования амбулаторной медицинской помощи»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к Тарифному соглашению изложить в новой редакции </w:t>
      </w:r>
      <w:r w:rsidR="00DC7EDF">
        <w:rPr>
          <w:rFonts w:ascii="Times New Roman" w:hAnsi="Times New Roman"/>
          <w:bCs/>
          <w:sz w:val="28"/>
          <w:szCs w:val="28"/>
          <w:lang w:eastAsia="en-US"/>
        </w:rPr>
        <w:t xml:space="preserve">(действует с 01.12.2023) </w:t>
      </w:r>
      <w:r>
        <w:rPr>
          <w:rFonts w:ascii="Times New Roman" w:hAnsi="Times New Roman"/>
          <w:bCs/>
          <w:sz w:val="28"/>
          <w:szCs w:val="28"/>
          <w:lang w:eastAsia="en-US"/>
        </w:rPr>
        <w:t>(приложение № 2 к настоящему Дополнительному соглашению).</w:t>
      </w:r>
    </w:p>
    <w:p w:rsidR="008D0BB6" w:rsidRDefault="008D0BB6" w:rsidP="008D0BB6">
      <w:pPr>
        <w:pStyle w:val="a5"/>
        <w:numPr>
          <w:ilvl w:val="1"/>
          <w:numId w:val="19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Приложение № 40 «Размеры фактических дифференцированных 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подушевых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нормативов финансирования СМП» к Тарифному соглашению </w:t>
      </w:r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 xml:space="preserve">изложить в новой редакции </w:t>
      </w:r>
      <w:r w:rsidR="00DC7EDF">
        <w:rPr>
          <w:rFonts w:ascii="Times New Roman" w:hAnsi="Times New Roman"/>
          <w:bCs/>
          <w:sz w:val="28"/>
          <w:szCs w:val="28"/>
          <w:lang w:eastAsia="en-US"/>
        </w:rPr>
        <w:t xml:space="preserve">(действует с 01.12.2023) </w:t>
      </w:r>
      <w:r>
        <w:rPr>
          <w:rFonts w:ascii="Times New Roman" w:hAnsi="Times New Roman"/>
          <w:bCs/>
          <w:sz w:val="28"/>
          <w:szCs w:val="28"/>
          <w:lang w:eastAsia="en-US"/>
        </w:rPr>
        <w:t>(приложение № 3 к настоящему Дополнительному соглашению).</w:t>
      </w:r>
    </w:p>
    <w:p w:rsidR="007A00C4" w:rsidRPr="008D0BB6" w:rsidRDefault="008D0BB6" w:rsidP="008D0BB6">
      <w:pPr>
        <w:pStyle w:val="a5"/>
        <w:numPr>
          <w:ilvl w:val="1"/>
          <w:numId w:val="19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8D0BB6">
        <w:rPr>
          <w:rFonts w:ascii="Times New Roman" w:hAnsi="Times New Roman"/>
          <w:bCs/>
          <w:sz w:val="28"/>
          <w:szCs w:val="28"/>
          <w:lang w:eastAsia="en-US"/>
        </w:rPr>
        <w:t xml:space="preserve">Приложение № 45 «Коэффициенты достижения уровня заработной платы медицинских работников в стационарных условиях и условиях дневного стационара» </w:t>
      </w:r>
      <w:r w:rsidR="00DC7EDF">
        <w:rPr>
          <w:rFonts w:ascii="Times New Roman" w:hAnsi="Times New Roman"/>
          <w:bCs/>
          <w:sz w:val="28"/>
          <w:szCs w:val="28"/>
          <w:lang w:eastAsia="en-US"/>
        </w:rPr>
        <w:t xml:space="preserve">(действует с 01.12.2023) </w:t>
      </w:r>
      <w:r w:rsidRPr="008D0BB6">
        <w:rPr>
          <w:rFonts w:ascii="Times New Roman" w:hAnsi="Times New Roman"/>
          <w:bCs/>
          <w:sz w:val="28"/>
          <w:szCs w:val="28"/>
          <w:lang w:eastAsia="en-US"/>
        </w:rPr>
        <w:t>(приложение № 4 к настоящему Дополнительному соглашению).</w:t>
      </w:r>
    </w:p>
    <w:p w:rsidR="001B6F80" w:rsidRPr="00162195" w:rsidRDefault="001B6F80" w:rsidP="00436498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 xml:space="preserve">Решение: </w:t>
      </w:r>
      <w:r w:rsidRPr="00162195">
        <w:rPr>
          <w:rFonts w:ascii="Times New Roman" w:hAnsi="Times New Roman"/>
          <w:color w:val="000000"/>
          <w:sz w:val="28"/>
          <w:szCs w:val="28"/>
        </w:rPr>
        <w:t>Согласовать Дополнительное соглашение №</w:t>
      </w:r>
      <w:r w:rsidR="00237D15">
        <w:rPr>
          <w:rFonts w:ascii="Times New Roman" w:hAnsi="Times New Roman"/>
          <w:color w:val="000000"/>
          <w:sz w:val="28"/>
          <w:szCs w:val="28"/>
        </w:rPr>
        <w:t> </w:t>
      </w:r>
      <w:r w:rsidR="00724C4C" w:rsidRPr="00724C4C">
        <w:rPr>
          <w:rFonts w:ascii="Times New Roman" w:hAnsi="Times New Roman"/>
          <w:color w:val="000000"/>
          <w:sz w:val="28"/>
          <w:szCs w:val="28"/>
        </w:rPr>
        <w:t>8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2023 год </w:t>
      </w:r>
      <w:r w:rsidRPr="00162195">
        <w:rPr>
          <w:rFonts w:ascii="Times New Roman" w:hAnsi="Times New Roman"/>
          <w:sz w:val="28"/>
          <w:szCs w:val="28"/>
        </w:rPr>
        <w:t xml:space="preserve">(приложение </w:t>
      </w:r>
      <w:r w:rsidR="005614D7">
        <w:rPr>
          <w:rFonts w:ascii="Times New Roman" w:hAnsi="Times New Roman"/>
          <w:sz w:val="28"/>
          <w:szCs w:val="28"/>
        </w:rPr>
        <w:t>3</w:t>
      </w:r>
      <w:r w:rsidRPr="00162195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1B6F80" w:rsidRPr="00162195" w:rsidRDefault="001B6F80" w:rsidP="001B6F80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6F80" w:rsidRPr="00162195" w:rsidRDefault="001B6F80" w:rsidP="00436498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единогласно.</w:t>
      </w:r>
    </w:p>
    <w:p w:rsidR="00D35AE6" w:rsidRPr="00162195" w:rsidRDefault="00D35AE6" w:rsidP="00881D7E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5AE6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F10FF6" w:rsidRPr="00162195" w:rsidRDefault="00F10FF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6D238E" w:rsidRPr="00BE11D3">
        <w:rPr>
          <w:rFonts w:ascii="Times New Roman" w:hAnsi="Times New Roman"/>
          <w:sz w:val="28"/>
          <w:szCs w:val="28"/>
        </w:rPr>
        <w:t>А.В. Горелова</w:t>
      </w:r>
      <w:r w:rsidRPr="0016219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0FF6" w:rsidRPr="00162195">
        <w:rPr>
          <w:rFonts w:ascii="Times New Roman" w:hAnsi="Times New Roman"/>
          <w:color w:val="000000"/>
          <w:sz w:val="28"/>
          <w:szCs w:val="28"/>
        </w:rPr>
        <w:t>И.Г. Березина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6D238E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bookmarkStart w:id="2" w:name="_GoBack"/>
      <w:bookmarkEnd w:id="2"/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6D238E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И.Е. Волков</w:t>
      </w:r>
    </w:p>
    <w:p w:rsidR="00F23B54" w:rsidRPr="00162195" w:rsidRDefault="00F23B54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 xml:space="preserve">___________________О.Г.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Лятуева</w:t>
      </w:r>
      <w:proofErr w:type="spellEnd"/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А.А. Потапова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И.В.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Тюрикова</w:t>
      </w:r>
      <w:proofErr w:type="spellEnd"/>
    </w:p>
    <w:p w:rsidR="00AB1B63" w:rsidRPr="00F23B54" w:rsidRDefault="006D238E" w:rsidP="006D238E">
      <w:pPr>
        <w:jc w:val="right"/>
        <w:rPr>
          <w:color w:val="FFFFFF" w:themeColor="background1"/>
        </w:rPr>
      </w:pPr>
      <w:r w:rsidRPr="00F23B54">
        <w:rPr>
          <w:rFonts w:ascii="Times New Roman" w:hAnsi="Times New Roman"/>
          <w:color w:val="FFFFFF" w:themeColor="background1"/>
          <w:sz w:val="28"/>
          <w:szCs w:val="28"/>
          <w:u w:val="single"/>
        </w:rPr>
        <w:t xml:space="preserve">                                          </w:t>
      </w:r>
      <w:r w:rsidRPr="00F23B54">
        <w:rPr>
          <w:rFonts w:ascii="Times New Roman" w:hAnsi="Times New Roman"/>
          <w:color w:val="FFFFFF" w:themeColor="background1"/>
          <w:sz w:val="28"/>
          <w:szCs w:val="28"/>
        </w:rPr>
        <w:t xml:space="preserve">А.Н. </w:t>
      </w:r>
    </w:p>
    <w:sectPr w:rsidR="00AB1B63" w:rsidRPr="00F23B54" w:rsidSect="005614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2CFA3179"/>
    <w:multiLevelType w:val="hybridMultilevel"/>
    <w:tmpl w:val="9582037E"/>
    <w:lvl w:ilvl="0" w:tplc="F8A68B2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9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D465C87"/>
    <w:multiLevelType w:val="multilevel"/>
    <w:tmpl w:val="F350E91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DAE0B4F"/>
    <w:multiLevelType w:val="multilevel"/>
    <w:tmpl w:val="D32E45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5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43167E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5266609A"/>
    <w:multiLevelType w:val="multilevel"/>
    <w:tmpl w:val="92881866"/>
    <w:lvl w:ilvl="0">
      <w:start w:val="1"/>
      <w:numFmt w:val="decimal"/>
      <w:lvlText w:val="%1."/>
      <w:lvlJc w:val="left"/>
      <w:pPr>
        <w:tabs>
          <w:tab w:val="num" w:pos="720"/>
        </w:tabs>
        <w:ind w:left="927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223"/>
        </w:tabs>
        <w:ind w:left="1880" w:hanging="1170"/>
      </w:pPr>
      <w:rPr>
        <w:rFonts w:eastAsia="Courier New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37" w:hanging="1170"/>
      </w:pPr>
      <w:rPr>
        <w:rFonts w:eastAsia="Courier New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37" w:hanging="1170"/>
      </w:pPr>
      <w:rPr>
        <w:rFonts w:eastAsia="Courier New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737" w:hanging="1170"/>
      </w:pPr>
      <w:rPr>
        <w:rFonts w:eastAsia="Courier New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07" w:hanging="1440"/>
      </w:pPr>
      <w:rPr>
        <w:rFonts w:eastAsia="Courier New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367" w:hanging="1800"/>
      </w:pPr>
      <w:rPr>
        <w:rFonts w:eastAsia="Courier New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367" w:hanging="1800"/>
      </w:pPr>
      <w:rPr>
        <w:rFonts w:eastAsia="Courier New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2727" w:hanging="2160"/>
      </w:pPr>
      <w:rPr>
        <w:rFonts w:eastAsia="Courier New"/>
        <w:color w:val="000000"/>
      </w:rPr>
    </w:lvl>
  </w:abstractNum>
  <w:abstractNum w:abstractNumId="19">
    <w:nsid w:val="545512BB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0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2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0"/>
  </w:num>
  <w:num w:numId="5">
    <w:abstractNumId w:val="10"/>
  </w:num>
  <w:num w:numId="6">
    <w:abstractNumId w:val="5"/>
  </w:num>
  <w:num w:numId="7">
    <w:abstractNumId w:val="12"/>
  </w:num>
  <w:num w:numId="8">
    <w:abstractNumId w:val="21"/>
  </w:num>
  <w:num w:numId="9">
    <w:abstractNumId w:val="22"/>
  </w:num>
  <w:num w:numId="10">
    <w:abstractNumId w:val="6"/>
  </w:num>
  <w:num w:numId="11">
    <w:abstractNumId w:val="1"/>
  </w:num>
  <w:num w:numId="12">
    <w:abstractNumId w:val="9"/>
  </w:num>
  <w:num w:numId="13">
    <w:abstractNumId w:val="3"/>
  </w:num>
  <w:num w:numId="14">
    <w:abstractNumId w:val="20"/>
  </w:num>
  <w:num w:numId="15">
    <w:abstractNumId w:val="14"/>
  </w:num>
  <w:num w:numId="16">
    <w:abstractNumId w:val="7"/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  <w:num w:numId="22">
    <w:abstractNumId w:val="1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7E5E"/>
    <w:rsid w:val="00016F17"/>
    <w:rsid w:val="000425C4"/>
    <w:rsid w:val="000514E9"/>
    <w:rsid w:val="00063654"/>
    <w:rsid w:val="00077570"/>
    <w:rsid w:val="00092AB7"/>
    <w:rsid w:val="000A0745"/>
    <w:rsid w:val="000B164A"/>
    <w:rsid w:val="000C3A06"/>
    <w:rsid w:val="000C719A"/>
    <w:rsid w:val="000D70FE"/>
    <w:rsid w:val="0010380C"/>
    <w:rsid w:val="001112F1"/>
    <w:rsid w:val="00124840"/>
    <w:rsid w:val="0012556F"/>
    <w:rsid w:val="00126AD8"/>
    <w:rsid w:val="001448A2"/>
    <w:rsid w:val="00152F53"/>
    <w:rsid w:val="00154F3C"/>
    <w:rsid w:val="00162195"/>
    <w:rsid w:val="00185135"/>
    <w:rsid w:val="0019712C"/>
    <w:rsid w:val="001B6F80"/>
    <w:rsid w:val="001D667C"/>
    <w:rsid w:val="00220DC5"/>
    <w:rsid w:val="00222A1F"/>
    <w:rsid w:val="0023520F"/>
    <w:rsid w:val="00237D15"/>
    <w:rsid w:val="002445CE"/>
    <w:rsid w:val="00246172"/>
    <w:rsid w:val="0024650D"/>
    <w:rsid w:val="002543EF"/>
    <w:rsid w:val="002754D2"/>
    <w:rsid w:val="00286207"/>
    <w:rsid w:val="002B3362"/>
    <w:rsid w:val="002B3718"/>
    <w:rsid w:val="002D0C60"/>
    <w:rsid w:val="002D4EA4"/>
    <w:rsid w:val="00307F82"/>
    <w:rsid w:val="00312CFF"/>
    <w:rsid w:val="00337D56"/>
    <w:rsid w:val="00351013"/>
    <w:rsid w:val="0035563F"/>
    <w:rsid w:val="00355F87"/>
    <w:rsid w:val="003A17F3"/>
    <w:rsid w:val="003A5BAF"/>
    <w:rsid w:val="003C1544"/>
    <w:rsid w:val="003D169C"/>
    <w:rsid w:val="003F16B6"/>
    <w:rsid w:val="00400860"/>
    <w:rsid w:val="0041214F"/>
    <w:rsid w:val="00436498"/>
    <w:rsid w:val="00443C0F"/>
    <w:rsid w:val="0044649E"/>
    <w:rsid w:val="004569D7"/>
    <w:rsid w:val="004A19A1"/>
    <w:rsid w:val="004A2166"/>
    <w:rsid w:val="004C04A5"/>
    <w:rsid w:val="004C0FB4"/>
    <w:rsid w:val="004C1F71"/>
    <w:rsid w:val="004C63FF"/>
    <w:rsid w:val="004D4C00"/>
    <w:rsid w:val="00502649"/>
    <w:rsid w:val="00537176"/>
    <w:rsid w:val="0055627B"/>
    <w:rsid w:val="005614D7"/>
    <w:rsid w:val="005664C9"/>
    <w:rsid w:val="00567F9A"/>
    <w:rsid w:val="00574488"/>
    <w:rsid w:val="005806AA"/>
    <w:rsid w:val="005871D8"/>
    <w:rsid w:val="005A1433"/>
    <w:rsid w:val="005A5FA5"/>
    <w:rsid w:val="005C1A5A"/>
    <w:rsid w:val="005C43F6"/>
    <w:rsid w:val="005E0A36"/>
    <w:rsid w:val="005E7699"/>
    <w:rsid w:val="006134A1"/>
    <w:rsid w:val="006140D4"/>
    <w:rsid w:val="00632835"/>
    <w:rsid w:val="00643BA1"/>
    <w:rsid w:val="0067061E"/>
    <w:rsid w:val="00681A0F"/>
    <w:rsid w:val="006A7070"/>
    <w:rsid w:val="006B24FF"/>
    <w:rsid w:val="006C1ED2"/>
    <w:rsid w:val="006D238E"/>
    <w:rsid w:val="006E6FD6"/>
    <w:rsid w:val="006F0CAB"/>
    <w:rsid w:val="00705193"/>
    <w:rsid w:val="00724C4C"/>
    <w:rsid w:val="007251E1"/>
    <w:rsid w:val="007336D1"/>
    <w:rsid w:val="00733AA1"/>
    <w:rsid w:val="007345DC"/>
    <w:rsid w:val="007408A4"/>
    <w:rsid w:val="0074216A"/>
    <w:rsid w:val="00745AB4"/>
    <w:rsid w:val="00765AE1"/>
    <w:rsid w:val="00766200"/>
    <w:rsid w:val="00780CC5"/>
    <w:rsid w:val="007A00C4"/>
    <w:rsid w:val="007A10C4"/>
    <w:rsid w:val="007B08CD"/>
    <w:rsid w:val="007D472D"/>
    <w:rsid w:val="007D4E6A"/>
    <w:rsid w:val="007D781C"/>
    <w:rsid w:val="00847768"/>
    <w:rsid w:val="008817AF"/>
    <w:rsid w:val="00881D7E"/>
    <w:rsid w:val="008910A1"/>
    <w:rsid w:val="00894E87"/>
    <w:rsid w:val="008A05BF"/>
    <w:rsid w:val="008B59D6"/>
    <w:rsid w:val="008C1D34"/>
    <w:rsid w:val="008D0BB6"/>
    <w:rsid w:val="008E403A"/>
    <w:rsid w:val="0090012D"/>
    <w:rsid w:val="00930BDF"/>
    <w:rsid w:val="00943A50"/>
    <w:rsid w:val="009449FB"/>
    <w:rsid w:val="00947B67"/>
    <w:rsid w:val="009564BB"/>
    <w:rsid w:val="009A1269"/>
    <w:rsid w:val="009B4B27"/>
    <w:rsid w:val="009B4C36"/>
    <w:rsid w:val="009C0479"/>
    <w:rsid w:val="009C2F44"/>
    <w:rsid w:val="009C7FDD"/>
    <w:rsid w:val="009D1034"/>
    <w:rsid w:val="009D4798"/>
    <w:rsid w:val="009D711C"/>
    <w:rsid w:val="009F4C62"/>
    <w:rsid w:val="00A56FB3"/>
    <w:rsid w:val="00A72334"/>
    <w:rsid w:val="00A7623F"/>
    <w:rsid w:val="00AB1B63"/>
    <w:rsid w:val="00AB4619"/>
    <w:rsid w:val="00AC2EAA"/>
    <w:rsid w:val="00AE488A"/>
    <w:rsid w:val="00AF1AEA"/>
    <w:rsid w:val="00B02D53"/>
    <w:rsid w:val="00B27976"/>
    <w:rsid w:val="00B4753F"/>
    <w:rsid w:val="00B5008D"/>
    <w:rsid w:val="00B64A6E"/>
    <w:rsid w:val="00B6792F"/>
    <w:rsid w:val="00B71853"/>
    <w:rsid w:val="00BB4EE8"/>
    <w:rsid w:val="00BC5DE0"/>
    <w:rsid w:val="00BD7EE3"/>
    <w:rsid w:val="00BE11D3"/>
    <w:rsid w:val="00BE3CC0"/>
    <w:rsid w:val="00C04DCB"/>
    <w:rsid w:val="00C11D03"/>
    <w:rsid w:val="00C17517"/>
    <w:rsid w:val="00C30DE0"/>
    <w:rsid w:val="00C94859"/>
    <w:rsid w:val="00CA1925"/>
    <w:rsid w:val="00CD0FA5"/>
    <w:rsid w:val="00CE6097"/>
    <w:rsid w:val="00D05D42"/>
    <w:rsid w:val="00D0621E"/>
    <w:rsid w:val="00D0689C"/>
    <w:rsid w:val="00D12009"/>
    <w:rsid w:val="00D14A7D"/>
    <w:rsid w:val="00D34419"/>
    <w:rsid w:val="00D35AE6"/>
    <w:rsid w:val="00D52D44"/>
    <w:rsid w:val="00D5311F"/>
    <w:rsid w:val="00D5564F"/>
    <w:rsid w:val="00D60479"/>
    <w:rsid w:val="00D87EBF"/>
    <w:rsid w:val="00D90F99"/>
    <w:rsid w:val="00DB4D11"/>
    <w:rsid w:val="00DB709B"/>
    <w:rsid w:val="00DB7E45"/>
    <w:rsid w:val="00DC7EDF"/>
    <w:rsid w:val="00DD14D8"/>
    <w:rsid w:val="00DF1B07"/>
    <w:rsid w:val="00DF7FBE"/>
    <w:rsid w:val="00E445C1"/>
    <w:rsid w:val="00E86130"/>
    <w:rsid w:val="00E92614"/>
    <w:rsid w:val="00E975F3"/>
    <w:rsid w:val="00EA1420"/>
    <w:rsid w:val="00EB2946"/>
    <w:rsid w:val="00EC6244"/>
    <w:rsid w:val="00ED6BD1"/>
    <w:rsid w:val="00EF6CC7"/>
    <w:rsid w:val="00F0136F"/>
    <w:rsid w:val="00F10FF6"/>
    <w:rsid w:val="00F2193B"/>
    <w:rsid w:val="00F23B54"/>
    <w:rsid w:val="00F27066"/>
    <w:rsid w:val="00F31692"/>
    <w:rsid w:val="00F57FC8"/>
    <w:rsid w:val="00F67E6B"/>
    <w:rsid w:val="00F80A0F"/>
    <w:rsid w:val="00F83DCD"/>
    <w:rsid w:val="00FA2411"/>
    <w:rsid w:val="00FB0FA8"/>
    <w:rsid w:val="00FD5254"/>
    <w:rsid w:val="00FE4725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character" w:styleId="a9">
    <w:name w:val="Strong"/>
    <w:basedOn w:val="a0"/>
    <w:uiPriority w:val="22"/>
    <w:qFormat/>
    <w:rsid w:val="008D0B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48399-063A-4F43-956D-2DB932B95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1976</TotalTime>
  <Pages>6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101</cp:revision>
  <cp:lastPrinted>2024-01-10T06:51:00Z</cp:lastPrinted>
  <dcterms:created xsi:type="dcterms:W3CDTF">2023-09-19T09:45:00Z</dcterms:created>
  <dcterms:modified xsi:type="dcterms:W3CDTF">2024-01-16T07:22:00Z</dcterms:modified>
</cp:coreProperties>
</file>