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96" w:rsidRDefault="00F10F96" w:rsidP="00F10F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96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bookmarkStart w:id="0" w:name="P58550"/>
      <w:bookmarkEnd w:id="0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риложение 6</w:t>
      </w:r>
    </w:p>
    <w:p w:rsidR="00F10F96" w:rsidRDefault="00F10F96" w:rsidP="00F10F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96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к протоколу Комиссии </w:t>
      </w:r>
    </w:p>
    <w:p w:rsidR="00F10F96" w:rsidRDefault="00F10F96" w:rsidP="00F10F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96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разработке территориальной </w:t>
      </w:r>
    </w:p>
    <w:p w:rsidR="00F10F96" w:rsidRDefault="00F10F96" w:rsidP="00F10F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96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программы 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обязательного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F10F96" w:rsidRDefault="00F10F96" w:rsidP="00F10F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96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медицинского страхования </w:t>
      </w:r>
    </w:p>
    <w:p w:rsidR="00F10F96" w:rsidRDefault="00F10F96" w:rsidP="00F10F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96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от 29.12.2021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№ 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</w:t>
      </w:r>
    </w:p>
    <w:p w:rsidR="00F10F96" w:rsidRDefault="00F10F96" w:rsidP="00F10F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</w:t>
      </w:r>
    </w:p>
    <w:p w:rsidR="00F10F96" w:rsidRDefault="00F10F96" w:rsidP="00F10F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РАСЧЕТА ПОДУШЕВОГО НОРМАТИВА ФИНАНСИРОВАНИЯ</w:t>
      </w:r>
    </w:p>
    <w:p w:rsidR="00F10F96" w:rsidRDefault="00F10F96" w:rsidP="00F10F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СКОРОЙ МЕДИЦИНСКОЙ ПОМОЩИ С УЧЕТОМ МЕ</w:t>
      </w:r>
      <w:r>
        <w:rPr>
          <w:rFonts w:ascii="Times New Roman" w:hAnsi="Times New Roman" w:cs="Times New Roman"/>
          <w:sz w:val="28"/>
          <w:szCs w:val="28"/>
        </w:rPr>
        <w:t>ЖУЧРЕЖДЕНЧЕСКИХ РАСЧЕТОВ НА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10F96" w:rsidRDefault="00F10F96" w:rsidP="00F10F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0149" w:rsidRDefault="00420149" w:rsidP="00F10F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финансирования на прикрепившихся лиц (далее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норматив) при оплате скорой медицинской помощи, оказываемой вне медицинской организации, в рамках базовой ТПОМС производится по следующему алгоритму: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Определяется размер среднего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в расчете на одно застрахованное лицо:</w:t>
      </w: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5"/>
          <w:sz w:val="28"/>
          <w:szCs w:val="28"/>
        </w:rPr>
        <w:drawing>
          <wp:inline distT="0" distB="0" distL="0" distR="0">
            <wp:extent cx="3162300" cy="466725"/>
            <wp:effectExtent l="0" t="0" r="0" b="9525"/>
            <wp:docPr id="10" name="Рисунок 10" descr="Описание: base_23776_13313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Описание: base_23776_133133_32769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533400" cy="266700"/>
            <wp:effectExtent l="0" t="0" r="0" b="0"/>
            <wp:docPr id="9" name="Рисунок 9" descr="Описание: base_23776_13313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base_23776_133133_32770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размер среднего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медицинскими организациями, в расчете на одно застрахованное лицо, рублей;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Нфз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МТР</w:t>
      </w:r>
      <w:r>
        <w:rPr>
          <w:rFonts w:ascii="Times New Roman" w:hAnsi="Times New Roman" w:cs="Times New Roman"/>
          <w:sz w:val="28"/>
          <w:szCs w:val="28"/>
        </w:rPr>
        <w:t xml:space="preserve"> - размер средств, направляемых на оплату скорой медицинской помощи вне медицинской организации, оказываемой застрахованным лицам </w:t>
      </w:r>
      <w:r>
        <w:rPr>
          <w:rFonts w:ascii="Times New Roman" w:hAnsi="Times New Roman" w:cs="Times New Roman"/>
          <w:sz w:val="28"/>
          <w:szCs w:val="28"/>
        </w:rPr>
        <w:lastRenderedPageBreak/>
        <w:t>за пределами Ивановской области, за вызов, рублей;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численность застрахованного населения </w:t>
      </w:r>
      <w:r>
        <w:rPr>
          <w:rFonts w:ascii="Times New Roman" w:hAnsi="Times New Roman" w:cs="Times New Roman"/>
          <w:sz w:val="28"/>
          <w:szCs w:val="28"/>
        </w:rPr>
        <w:t>Ивановской области на 01.01.2021</w:t>
      </w:r>
      <w:r>
        <w:rPr>
          <w:rFonts w:ascii="Times New Roman" w:hAnsi="Times New Roman" w:cs="Times New Roman"/>
          <w:sz w:val="28"/>
          <w:szCs w:val="28"/>
        </w:rPr>
        <w:t>, человек.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Определяется коэффициент приведения среднего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финансирования к базовому нормативу финансирования</w:t>
      </w:r>
    </w:p>
    <w:p w:rsidR="00F10F96" w:rsidRDefault="00F10F96" w:rsidP="00F10F9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Пр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СМП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БАЗ</m:t>
            </m:r>
          </m:num>
          <m:den>
            <m:r>
              <w:rPr>
                <w:rFonts w:ascii="Cambria Math" w:hAnsi="Cambria Math" w:cs="Times New Roman"/>
                <w:i/>
                <w:noProof/>
                <w:position w:val="-9"/>
                <w:sz w:val="28"/>
                <w:szCs w:val="28"/>
              </w:rPr>
              <w:drawing>
                <wp:inline distT="0" distB="0" distL="0" distR="0">
                  <wp:extent cx="533400" cy="266700"/>
                  <wp:effectExtent l="0" t="0" r="0" b="0"/>
                  <wp:docPr id="8" name="Рисунок 8" descr="Описание: base_23776_13313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Описание: base_23776_133133_32770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m:r>
          </m:den>
        </m:f>
      </m:oMath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коэффициент приведения скорой медицинской помощи;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базовый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вне медицинской организации, рублей.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Определяется среднемесячный базовый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организации:</w:t>
      </w: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(ФО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з 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 (3)</w:t>
      </w: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БАЗмес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 (4),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- размер средств, направляемых на оплату скорой медицинской помощи вне медицинской организации застрахованным в Ивановской области лицам, за вызов, рублей;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БАЗмес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среднемесячный базовый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помощи, рублей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- количество месяцев в расчетном периоде.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Базовый (средний)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медицинскую помощь, оказываемую в экстренной и неотложной формах в соответствии с установленной единицей объема медицинской помощи - вызов, за исключением:</w:t>
      </w:r>
      <w:proofErr w:type="gramEnd"/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расходов на оплату вызовов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тромболизисом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расходов на оплату экстренных вызовов специализированных экстренных консультативных бригад в медицинских организациях, не имеющих прикрепленного населения; 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расходов, направляемых на оплату скорой медицинской помощи вне медицинской организации, оказывающей медицинскую помощь лицам, застрахованным за пределами Ивановской области.</w:t>
      </w:r>
    </w:p>
    <w:p w:rsidR="00F10F96" w:rsidRDefault="00F10F96" w:rsidP="00F10F96">
      <w:pPr>
        <w:widowControl w:val="0"/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Пересчет базового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осуществляется при изменении параметров, определяющих его значение.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Рассчитывается дифференцированный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для однородных групп медицинских организаций:</w:t>
      </w: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ДПн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 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*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*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 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* (5),</w:t>
      </w:r>
    </w:p>
    <w:p w:rsidR="00F10F96" w:rsidRDefault="00F10F96" w:rsidP="00F10F9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ДПн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дифференцированный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для n-й группы медицинских организаций, рублей;</w:t>
      </w:r>
    </w:p>
    <w:p w:rsidR="00F10F96" w:rsidRDefault="00F10F96" w:rsidP="00F10F96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in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 - коэффициент специфики оказания скорой медицинской помощи для n-й группы медицинских организаций.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объединение медицинских организаций в однородные группы осуществляется исходя из значений коэффициента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оэффициент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специфики оказания скорой медицинской помощи определяется по каждой медицинской организации по следующей формуле: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in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= КД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ПВС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(6),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ПВС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половозрастной коэффициент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норматива, рассчитанный для i-й медицинской организации.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Половозрастной коэффициент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для i-й медицинской организации рассчитывается с использованием половозрастных коэффициентов дифференциации для j-й половозрастной группы и округляется до 3 знаков после запятой:</w:t>
      </w: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ПВ С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пвс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j</m:t>
                    </m:r>
                  </m:sup>
                </m:sSubSup>
              </m:e>
            </m:nary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ш</m:t>
                </m:r>
              </m:sub>
            </m:sSub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(7),</w:t>
      </w: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495300" cy="266700"/>
            <wp:effectExtent l="0" t="0" r="0" b="0"/>
            <wp:docPr id="7" name="Рисунок 7" descr="Описание: base_23776_13313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base_23776_133133_32773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половозрастной коэффициент дифференциации для j-й половозрастной группы;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85750" cy="266700"/>
            <wp:effectExtent l="0" t="0" r="0" b="0"/>
            <wp:docPr id="6" name="Рисунок 6" descr="Описание: base_23776_13313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Описание: base_23776_133133_32774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численность застрахованного прикрепленного населения для i-й медицинской организации, попадающего в j-й полов</w:t>
      </w:r>
      <w:r w:rsidR="00E43915">
        <w:rPr>
          <w:rFonts w:ascii="Times New Roman" w:hAnsi="Times New Roman" w:cs="Times New Roman"/>
          <w:sz w:val="28"/>
          <w:szCs w:val="28"/>
        </w:rPr>
        <w:t>озрастной интервал на 01.12.2021</w:t>
      </w:r>
      <w:r>
        <w:rPr>
          <w:rFonts w:ascii="Times New Roman" w:hAnsi="Times New Roman" w:cs="Times New Roman"/>
          <w:sz w:val="28"/>
          <w:szCs w:val="28"/>
        </w:rPr>
        <w:t>, человек;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Чз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численность застрахованного населения, прикрепленного к i-й медиц</w:t>
      </w:r>
      <w:r w:rsidR="00E43915">
        <w:rPr>
          <w:rFonts w:ascii="Times New Roman" w:hAnsi="Times New Roman" w:cs="Times New Roman"/>
          <w:sz w:val="28"/>
          <w:szCs w:val="28"/>
        </w:rPr>
        <w:t>инской организации на 01.12.2021</w:t>
      </w:r>
      <w:r>
        <w:rPr>
          <w:rFonts w:ascii="Times New Roman" w:hAnsi="Times New Roman" w:cs="Times New Roman"/>
          <w:sz w:val="28"/>
          <w:szCs w:val="28"/>
        </w:rPr>
        <w:t>, человек.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Половозрастные коэффициенты дифференциации учитывают различия в уровне затрат на оказание медицинской помощи, связанные с половозрастной структурой застрахованных лиц. Величина половозрастных коэффициентов дифференциации групп </w:t>
      </w: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495300" cy="266700"/>
            <wp:effectExtent l="0" t="0" r="0" b="0"/>
            <wp:docPr id="5" name="Рисунок 5" descr="Описание: base_23776_133133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Описание: base_23776_133133_32775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пвс 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 (8),</w:t>
      </w: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норматив затрат на одно застрахованное лицо, попадающее в j-й половозрастной интервал, рублей;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норматив затрат на оплату скорой медицинской помощи на одно застрахованное лицо (без учета возраста и пола), рублей.</w:t>
      </w:r>
    </w:p>
    <w:p w:rsidR="00F10F96" w:rsidRDefault="00F10F96" w:rsidP="004201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 затрат на оплату скорой медицинской помощи на одно застрахованное лицо (Р) (без учета возраста и пола) определяется по формуле:</w:t>
      </w:r>
    </w:p>
    <w:p w:rsidR="00420149" w:rsidRDefault="00420149" w:rsidP="004201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 =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/ М / Ч (9),</w:t>
      </w: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объем финансирования медицинских организаци</w:t>
      </w:r>
      <w:r w:rsidR="00E43915">
        <w:rPr>
          <w:rFonts w:ascii="Times New Roman" w:hAnsi="Times New Roman" w:cs="Times New Roman"/>
          <w:sz w:val="28"/>
          <w:szCs w:val="28"/>
        </w:rPr>
        <w:t xml:space="preserve">й по </w:t>
      </w:r>
      <w:proofErr w:type="spellStart"/>
      <w:r w:rsidR="00E4391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E43915">
        <w:rPr>
          <w:rFonts w:ascii="Times New Roman" w:hAnsi="Times New Roman" w:cs="Times New Roman"/>
          <w:sz w:val="28"/>
          <w:szCs w:val="28"/>
        </w:rPr>
        <w:t xml:space="preserve"> нормативу в 2021</w:t>
      </w:r>
      <w:r>
        <w:rPr>
          <w:rFonts w:ascii="Times New Roman" w:hAnsi="Times New Roman" w:cs="Times New Roman"/>
          <w:sz w:val="28"/>
          <w:szCs w:val="28"/>
        </w:rPr>
        <w:t xml:space="preserve"> году за К-й период при условии оплаты по тарифу за единицу объема, рублей;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 - количество месяцев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К-м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периоде;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 - численность застрахованного прикрепленного насе</w:t>
      </w:r>
      <w:r w:rsidR="00E43915">
        <w:rPr>
          <w:rFonts w:ascii="Times New Roman" w:hAnsi="Times New Roman" w:cs="Times New Roman"/>
          <w:sz w:val="28"/>
          <w:szCs w:val="28"/>
        </w:rPr>
        <w:t>ления по состоянию на 01.01.2021</w:t>
      </w:r>
      <w:r>
        <w:rPr>
          <w:rFonts w:ascii="Times New Roman" w:hAnsi="Times New Roman" w:cs="Times New Roman"/>
          <w:sz w:val="28"/>
          <w:szCs w:val="28"/>
        </w:rPr>
        <w:t>, человек.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 затрат на одно застрахованное лицо, попадающее в j-й половозрастной интервал, определяются по формуле: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P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/ М / </w:t>
      </w: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(10),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объем финансирования j-й половозрастной группы медицинских организаци</w:t>
      </w:r>
      <w:r w:rsidR="00E43915">
        <w:rPr>
          <w:rFonts w:ascii="Times New Roman" w:hAnsi="Times New Roman" w:cs="Times New Roman"/>
          <w:sz w:val="28"/>
          <w:szCs w:val="28"/>
        </w:rPr>
        <w:t xml:space="preserve">й по </w:t>
      </w:r>
      <w:proofErr w:type="spellStart"/>
      <w:r w:rsidR="00E43915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E43915">
        <w:rPr>
          <w:rFonts w:ascii="Times New Roman" w:hAnsi="Times New Roman" w:cs="Times New Roman"/>
          <w:sz w:val="28"/>
          <w:szCs w:val="28"/>
        </w:rPr>
        <w:t xml:space="preserve"> нормативу в 2021</w:t>
      </w:r>
      <w:r>
        <w:rPr>
          <w:rFonts w:ascii="Times New Roman" w:hAnsi="Times New Roman" w:cs="Times New Roman"/>
          <w:sz w:val="28"/>
          <w:szCs w:val="28"/>
        </w:rPr>
        <w:t xml:space="preserve"> году за К-й период при условии оплаты по тарифу за единицу объема, рублей;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численность застрахованных прикрепленны</w:t>
      </w:r>
      <w:r w:rsidR="00E43915">
        <w:rPr>
          <w:rFonts w:ascii="Times New Roman" w:hAnsi="Times New Roman" w:cs="Times New Roman"/>
          <w:sz w:val="28"/>
          <w:szCs w:val="28"/>
        </w:rPr>
        <w:t>х лиц по состоянию на 01.01.2021</w:t>
      </w:r>
      <w:r>
        <w:rPr>
          <w:rFonts w:ascii="Times New Roman" w:hAnsi="Times New Roman" w:cs="Times New Roman"/>
          <w:sz w:val="28"/>
          <w:szCs w:val="28"/>
        </w:rPr>
        <w:t>, попадающих в j-й половозрастной интервал, человек.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Половозрастные коэффициенты дифференциации </w:t>
      </w: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495300" cy="266700"/>
            <wp:effectExtent l="0" t="0" r="0" b="0"/>
            <wp:docPr id="4" name="Рисунок 4" descr="Описание: base_23776_133133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base_23776_133133_32777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приведены в приложении № 26 к Тарифному соглашению в сфере обязательного медицинского страхования на терри</w:t>
      </w:r>
      <w:r w:rsidR="00E43915">
        <w:rPr>
          <w:rFonts w:ascii="Times New Roman" w:hAnsi="Times New Roman" w:cs="Times New Roman"/>
          <w:sz w:val="28"/>
          <w:szCs w:val="28"/>
        </w:rPr>
        <w:t>тории Ивановской области на 2021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Половозрастной коэффициент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</w:t>
      </w: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628650" cy="266700"/>
            <wp:effectExtent l="0" t="0" r="0" b="0"/>
            <wp:docPr id="3" name="Рисунок 3" descr="Описание: base_23776_133133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Описание: base_23776_133133_32778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, половозрастные коэффициенты дифференциации для j-й половозрастной группы </w:t>
      </w:r>
      <w:r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628650" cy="266700"/>
            <wp:effectExtent l="0" t="0" r="0" b="0"/>
            <wp:docPr id="2" name="Рисунок 2" descr="Описание: base_23776_133133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base_23776_133133_32779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рассчитываются не реже 1 раза в год.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значения интегрированного коэффициента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ИНТ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в соответствие объема средств, рассчитанного по дифференцированным подушевым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 с округлением до 3 знаков после запятой: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ПК=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СР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Пр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*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in</m:t>
                    </m:r>
                  </m:sup>
                </m:sSup>
              </m:e>
            </m:nary>
            <m:r>
              <w:rPr>
                <w:rFonts w:ascii="Cambria Math" w:hAnsi="Cambria Math" w:cs="Times New Roman"/>
                <w:sz w:val="28"/>
                <w:szCs w:val="28"/>
              </w:rPr>
              <m:t xml:space="preserve">*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Чз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in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(11)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Чз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численность застрахованных лиц, прикрепленных к n-й группе медицинской организации, человек.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вне медицинской организации для n-й группы медицинских организаций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ФДПн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>
            <wp:extent cx="1571625" cy="428625"/>
            <wp:effectExtent l="0" t="0" r="0" b="9525"/>
            <wp:docPr id="1" name="Рисунок 1" descr="Описание: base_23776_133133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base_23776_133133_32781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ДП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in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*ПК</m:t>
        </m:r>
      </m:oMath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(12)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ФДПн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фактический дифференцированный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для n-й группы медицинских организаций, рублей.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фактических дифференцированных подушевых нормативов финансирования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ФДПн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</w:rPr>
        <w:t>) приведены в приложении № 27 к Тарифному соглашению в сфере обязательного медицинского страхования на терри</w:t>
      </w:r>
      <w:r w:rsidR="00E43915">
        <w:rPr>
          <w:rFonts w:ascii="Times New Roman" w:hAnsi="Times New Roman" w:cs="Times New Roman"/>
          <w:sz w:val="28"/>
          <w:szCs w:val="28"/>
        </w:rPr>
        <w:t>тории Ивановской области на 2022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10F96" w:rsidRDefault="00F10F96" w:rsidP="00F10F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4201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Размер финансового обеспечения медицинской организации, имеющей прикрепившихся лиц, определяется исходя из значения дифференцированного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по следующей формуле:</w:t>
      </w:r>
    </w:p>
    <w:p w:rsidR="00F10F96" w:rsidRDefault="00F10F96" w:rsidP="00F10F96">
      <w:pPr>
        <w:pStyle w:val="ConsPlusNormal"/>
        <w:spacing w:before="28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ФДПн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(12),</w:t>
      </w:r>
    </w:p>
    <w:p w:rsidR="00F10F96" w:rsidRDefault="00F10F96" w:rsidP="00F10F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F96" w:rsidRDefault="00F10F96" w:rsidP="00F10F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размер финансового обеспечения медицинской организации, имеющей прикрепившихся лиц, без оплаты вызовов с проведением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>
        <w:rPr>
          <w:rFonts w:ascii="Times New Roman" w:hAnsi="Times New Roman" w:cs="Times New Roman"/>
          <w:sz w:val="28"/>
          <w:szCs w:val="28"/>
        </w:rPr>
        <w:t>, рублей;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численность застрахованных лиц, прикрепленных к i-й медицинской организации, на 1-е число расчетного периода, человек.</w:t>
      </w:r>
      <w:r>
        <w:t xml:space="preserve"> 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финансового обеспечения медицинской организации, имеющей прикрепившихся лиц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ФОсмо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определяется ТФОМС с учетом объема средств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расчетам на основании Актов расчетов. </w:t>
      </w:r>
    </w:p>
    <w:p w:rsidR="00F10F96" w:rsidRDefault="00F10F96" w:rsidP="00F10F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ТФОМС Ивановской области ежемесячно утверждает объемы финансирования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нормативу скорой медицинской помощи с учетом объема средств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расчетам в разрезе СМО. Сведения об утвержденном объеме финансирования по медицинским организациям (с учетом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расчетов) направляются в медицинские организации за подписью заместителя директора ТФОМС в электронном виде. </w:t>
      </w:r>
    </w:p>
    <w:p w:rsidR="00F10F96" w:rsidRPr="00420149" w:rsidRDefault="00F10F96" w:rsidP="00420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 финансирования и коэффициенты дифференциации (при их пересчете) рассматриваются Комиссией с внесением изменений в Тарифное соглашение в сфере обязательного медицинского страхования на терри</w:t>
      </w:r>
      <w:r w:rsidR="00E43915">
        <w:rPr>
          <w:rFonts w:ascii="Times New Roman" w:hAnsi="Times New Roman" w:cs="Times New Roman"/>
          <w:sz w:val="28"/>
          <w:szCs w:val="28"/>
        </w:rPr>
        <w:t>тории Ивановской области на 2022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1" w:name="_GoBack"/>
      <w:bookmarkEnd w:id="1"/>
    </w:p>
    <w:sectPr w:rsidR="00F10F96" w:rsidRPr="00420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4DA"/>
    <w:rsid w:val="00420149"/>
    <w:rsid w:val="00654376"/>
    <w:rsid w:val="00A86416"/>
    <w:rsid w:val="00AF24DA"/>
    <w:rsid w:val="00E43915"/>
    <w:rsid w:val="00F1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F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0F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10F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0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F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F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0F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10F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0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F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1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Сухова Елена Юрьевна</dc:creator>
  <cp:keywords/>
  <dc:description/>
  <cp:lastModifiedBy>Сухова Елена Юрьевна</cp:lastModifiedBy>
  <cp:revision>2</cp:revision>
  <dcterms:created xsi:type="dcterms:W3CDTF">2022-01-17T07:39:00Z</dcterms:created>
  <dcterms:modified xsi:type="dcterms:W3CDTF">2022-01-17T08:20:00Z</dcterms:modified>
</cp:coreProperties>
</file>