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1D1B11"/>
          <w:sz w:val="26"/>
          <w:szCs w:val="26"/>
          <w:lang w:eastAsia="ru-RU"/>
        </w:rPr>
        <w:t>ТЕСТЫ ПО СПЕЦИАЛЬНОСТИ</w:t>
        <w:br/>
        <w:t>«ЛЕЧЕБНОЕ ДЕЛО»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1D1B11"/>
          <w:sz w:val="26"/>
          <w:szCs w:val="26"/>
          <w:u w:val="single"/>
          <w:lang w:eastAsia="ru-RU"/>
        </w:rPr>
        <w:t>Инструкция: необходимо выбрать один правильный ответ</w:t>
      </w:r>
    </w:p>
    <w:p>
      <w:pPr>
        <w:pStyle w:val="Normal"/>
        <w:spacing w:lineRule="auto" w:line="240" w:beforeAutospacing="1" w:after="240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1.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ВО ВРЕМЯ ИММОБИЛИЗАЦИИ КОНЕЧНОСТИ ГИПСОВОЙ ЛАНГЕТОЙ ЛФК И ФИЗИОТЕРАПИЮ НАЗНАЧАЮТ СПУСТЯ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1 неделю</w:t>
        <w:br/>
        <w:t>б. 1 месяц</w:t>
        <w:br/>
        <w:t>в.  1-3 дня</w:t>
        <w:br/>
        <w:t>г.  5-7 дня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2. ПРОТИВОПОКАЗАНИЕМ ДЛЯ НАПРАВЛЕНИЯ В САНАТОРИЙ ЯВЛЯЕТСЯ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а.бронхиальная астма</w:t>
        <w:br/>
        <w:t>б. состояние после инфаркта</w:t>
        <w:br/>
        <w:t>в. ишемическая болезнь сердца</w:t>
        <w:br/>
        <w:t>г. эпилепсия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3. ПРОГРАММА МЕДИКО-СОЦИАЛЬНОЙ РЕАБИЛИТАЦИИ ИНВАЛИДОВ-УЧАСТНИКОВ БОЕВЫХ ДЕЙСТВИЙ ДОЛЖНА ПРЕДУСМАТРИВАТЬ ОБЯЗАТЕЛЬНОЕ ПРИВЛЕЧЕНИЕ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психотерапевта </w:t>
        <w:br/>
        <w:t>б. фтизиатра</w:t>
        <w:br/>
        <w:t>в. юриста</w:t>
        <w:br/>
        <w:t>г. психиатра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4. ЭНДОСКОПИЧЕСКИЙ МЕТОД ИССЛЕДОВАНИЯ ПИЩЕВОДА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колоноскопия</w:t>
        <w:br/>
        <w:t>б. ирригоскопия</w:t>
        <w:br/>
        <w:t>в. гастроскопия</w:t>
        <w:br/>
        <w:t xml:space="preserve">г. эзофагоскопия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5. ИНВАЛИДНОСТЬ II ГРУППЫ УСТАНАВЛИВАЕТСЯ НА СРОК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4 года</w:t>
        <w:br/>
        <w:t xml:space="preserve">б. 1 год </w:t>
        <w:br/>
        <w:t>в. 3 года</w:t>
        <w:br/>
        <w:t>г. 2 года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6. ТРАНСПОРТИРОВКА БОЛЬНОГО С ПЕРИТОНИТОМ ОСУЩЕСТВЛЯЕТСЯ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городским транспортом</w:t>
        <w:br/>
        <w:t>б. сидя</w:t>
        <w:br/>
        <w:t xml:space="preserve">в. лежа на носилках </w:t>
        <w:br/>
        <w:t>г.лежа на щите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7. СРОКИ ИСТИННОГО ПЕРЕНАШИВАНИЯ БЕРЕМЕННОСТИ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42 и более недели </w:t>
        <w:br/>
        <w:t>б. 40-41 неделя</w:t>
        <w:br/>
        <w:t>в. 39-40 недель</w:t>
        <w:br/>
        <w:t>г. 37-38 недель</w:t>
      </w:r>
    </w:p>
    <w:p>
      <w:pPr>
        <w:pStyle w:val="Normal"/>
        <w:spacing w:lineRule="auto" w:line="240" w:beforeAutospacing="1" w:after="24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8. ГРУППУ ЗДОРОВЬЯ ДЕТЕЙ ОПРЕДЕЛЯЕТ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участковый педиатр </w:t>
        <w:br/>
        <w:t>б. медицинская сестра</w:t>
        <w:br/>
        <w:t>в. врач скорой помощи</w:t>
        <w:br/>
        <w:t>г. врач стационара</w:t>
      </w:r>
    </w:p>
    <w:p>
      <w:pPr>
        <w:pStyle w:val="Normal"/>
        <w:spacing w:lineRule="auto" w:line="240" w:beforeAutospacing="1" w:after="24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9. РАЦИОНАЛЬНАЯ ТАКТИКА ПРИ ДИФФУЗНОМ ПЕРИТОНИТЕ С ВЫРАЖЕННЫМ ИНТОКСИКАЦИОННЫМ СИНДРОМОМ НА ДОГОСПИТАЛЬНОМ ЭТАПЕ ВКЛЮЧАЕТ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обезболивание, госпитализацию в хирургический стационар</w:t>
        <w:br/>
        <w:t>б. антибиотики, госпитализацию в хирургический стационар</w:t>
        <w:br/>
        <w:t>в. госпитализацию в хирургический стационар без дополнительных лечебных мероприятий</w:t>
        <w:br/>
        <w:t xml:space="preserve">г. госпитализацию в хирургический стационар на фоне проведения инфузионной терапии кристаллоидами </w:t>
      </w:r>
    </w:p>
    <w:p>
      <w:pPr>
        <w:pStyle w:val="Normal"/>
        <w:spacing w:lineRule="auto" w:line="240" w:beforeAutospacing="1" w:after="24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10. УХОД ЗА ТРАХЕОСТОМОЙ ВКЛЮЧАЕТ ОЧИСТКУ КАНЮЛИ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раз в сутки</w:t>
        <w:br/>
        <w:t>б.ежечасно</w:t>
        <w:br/>
        <w:t xml:space="preserve">в. по мере загрязнения </w:t>
        <w:br/>
        <w:t>г. каждые 30 минут</w:t>
      </w:r>
    </w:p>
    <w:p>
      <w:pPr>
        <w:pStyle w:val="Normal"/>
        <w:spacing w:lineRule="auto" w:line="240" w:beforeAutospacing="1" w:after="24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11. ОСОБЕННОСТЬ АУСКУЛЬТАТИВНОЙ КАРТИНЫ СЕРДЦА У ДЕТЕЙ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приглушенность тонов</w:t>
        <w:br/>
        <w:t>б. физиологическая брадикардия</w:t>
        <w:br/>
        <w:t>в. акцент II тона на аорте</w:t>
        <w:br/>
        <w:t>г. большая звучность тонов</w:t>
      </w:r>
    </w:p>
    <w:p>
      <w:pPr>
        <w:pStyle w:val="Normal"/>
        <w:spacing w:lineRule="auto" w:line="240" w:beforeAutospacing="1" w:after="24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12. ПРИ ТЯЖЕЛОЙ ФОРМЕ ВИРУСНОГО ГЕПАТИТА А ПРОТРОМБИНОВЫЙ ИНДЕКС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сначала снижается потом повышается</w:t>
        <w:br/>
        <w:t>б. остается неизменным</w:t>
        <w:br/>
        <w:t>в. снижается</w:t>
        <w:br/>
        <w:t>г. повышается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13. РАЗМЕР СТРАХОВОГО ПОСОБИЯ ПО ВРЕМЕННОЙ НЕТРУДОСПОСОБНОСТИ У ЗАСТРАХОВАННОГО ЛИЦА, ИМЕЮЩЕГО СТРАХОВОЙ ТРУДОВОЙ СТАЖ 8 ЛЕТ И БОЛЕЕ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100% среднего заработка </w:t>
        <w:br/>
        <w:t>б. 50% среднего заработка</w:t>
        <w:br/>
        <w:t>в. 60% среднего заработка</w:t>
        <w:br/>
        <w:t>г. 80% среднего заработка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14. ЭВАКУАЦИЯ НАСЕЛЕНИЯ ПРИ ЧРЕЗВЫЧАЙНЫХ СИТУАЦИЯХ ОСУЩЕСТВЛЯЕТСЯ ПО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показателям общего состояния пострадавших</w:t>
        <w:br/>
        <w:t>б. наличию транспортных средств</w:t>
        <w:br/>
        <w:t>в. возрастным показателям</w:t>
        <w:br/>
        <w:t xml:space="preserve">г. эвакуационно-сортировочным признакам </w:t>
      </w:r>
    </w:p>
    <w:p>
      <w:pPr>
        <w:pStyle w:val="Normal"/>
        <w:spacing w:lineRule="auto" w:line="240" w:beforeAutospacing="1" w:afterAutospacing="1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15. К ОСНОВНЫМ СИМПТОМАМ СИНДРОМА ОБСТРУКТИВНОГО АПНОЭ СНА НЕ ОТНОСИТСЯ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повышенная утомляемость</w:t>
        <w:br/>
        <w:t>б. раздражительность</w:t>
        <w:br/>
        <w:t xml:space="preserve">в. понижение артериального давления </w:t>
        <w:br/>
        <w:t>г. дневная сонливость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16. ОСНОВНЫМ НАПРАВЛЕНИЕМ ЛЕЧЕНИЯ ПАЦИЕНТОВ МОЛОДОГО ВОЗРАСТА С ПОВРЕЖДЕНИЯМИ КРУПНЫХ СУСТАВОВ ЯВЛЯЕТСЯ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поддержание функции сустава</w:t>
        <w:br/>
        <w:t>б. профилактика остеоартроза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в. профилактика остеопороза</w:t>
        <w:br/>
        <w:t>г.  профилактика ожирения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17. СИМПТОМОМ РАЗДРАЖЕНИЯ БРЮШИНЫ ЯВЛЯЕТСЯ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Мейо-Робсона</w:t>
        <w:br/>
        <w:t>б. Образцова</w:t>
        <w:br/>
        <w:t xml:space="preserve">в. Щеткина-Блюмберга </w:t>
        <w:br/>
        <w:t>г. Ситковского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18. СИНИЛЬНАЯ КИСЛОТА ОТНОСИТСЯ К ГРУППЕ БОЕВЫХ ОТРАВЛЯЮЩИХ ВЕЩЕСТВ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общетоксического действия </w:t>
        <w:br/>
        <w:t>б. удушающего действия</w:t>
        <w:br/>
        <w:t>в. психохимического действия</w:t>
        <w:br/>
        <w:t>г. кожно-нарывного действия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19. ФОРМЫ ОБУЧЕНИЯ В ШКОЛЕ ДЛЯ ПАЦИЕНТОВ С САХАРНЫМ ДИАБЕТОМ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кормление со сниженным каллоражем</w:t>
        <w:br/>
        <w:t>б. физические нагрузки с приседанием</w:t>
        <w:br/>
        <w:t xml:space="preserve">в. беседа с пациентом </w:t>
        <w:br/>
        <w:t>г. расчет потерь калорий при занятии плаванием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20. ПРОВОДНИКОВУЮ АНЕСТЕЗИЮ ПРИ ВСКРЫТИИ ПАНАРИЦИЯ ПРОВОДЯТ РАСТВОРОМ НОВОКАИНА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5%</w:t>
        <w:br/>
        <w:t>б. 0,25%</w:t>
        <w:br/>
        <w:t>в. 0,5%</w:t>
        <w:br/>
        <w:t xml:space="preserve">г. 1%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21. ИНСТРУКЦИЯ, ОПРЕДЕЛЯЮЩАЯ ДЕЙСТВИЯ ПЕРСОНАЛА ПО ЭВАКУАЦИИ ЛЮДЕЙ ПРИ ПОЖАРЕ, (ППР РФ П.12) ДОЛЖНА БЫТЬ РАЗРАБОТАНА ПРИ КОЛИЧЕСТВЕ РАБОТНИКОВ БОЛЕЕ _________ ЧЕЛОВЕК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150</w:t>
        <w:br/>
        <w:t xml:space="preserve">б. 50 </w:t>
        <w:br/>
        <w:t>в. 10</w:t>
        <w:br/>
        <w:t>г. 100</w:t>
      </w:r>
    </w:p>
    <w:p>
      <w:pPr>
        <w:pStyle w:val="Normal"/>
        <w:spacing w:lineRule="auto" w:line="240" w:beforeAutospacing="1" w:after="240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22. ПЕРВИЧНАЯ МЕДИКО-САНИТАРНАЯ ПОМОЩЬ ВКЛЮЧАЕТ МЕРОПРИЯТИЯ ПО МЕДИЦИНСКОЙ ПРОФИЛАКТИКЕ: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оказание скорой помощи в экстренной форме</w:t>
        <w:br/>
        <w:t xml:space="preserve">б. санитарно-гигиеническое просвещение населения, профилактику заболеваний </w:t>
        <w:br/>
        <w:t>в. все виды медицинского обслуживания при заболеваниях в стационарах</w:t>
        <w:br/>
        <w:t>г. паллиативную медицинскую помощь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23. ПРИ ПОЯВЛЕНИИ КРОВИ В ПРОМЫВНЫХ ВОДАХ ВО ВРЕМЯ ВЫПОЛНЕНИЯ ПРОМЫВАНИЯ ЖЕЛУДКА СЛЕДУЕТ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продолжить манипуляцию</w:t>
        <w:br/>
        <w:t>б. уменьшить количество вводимой жидкости</w:t>
        <w:br/>
        <w:t xml:space="preserve">в. процедуру прекратить и вызвать врача </w:t>
        <w:br/>
        <w:t>г. уменьшить скорость введения жидкости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24. ОСНОВНОЙ ЗАДАЧЕЙ СТРАХОВЫХ ОРГАНИЗАЦИЙ В РЕАЛИЗАЦИИ СИСТЕМЫ ОБЯЗАТЕЛЬНОГО МЕДИЦИНСКОГО СТРАХОВАНИЯ ЯВЛЯЕТСЯ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финансирование других функций ЛПУ</w:t>
        <w:br/>
        <w:t>б. оплата государства</w:t>
        <w:br/>
        <w:t xml:space="preserve">в. оплата медицинских услуг ЛПУ, контроль качества медицинской помощи </w:t>
        <w:br/>
        <w:t>г. финансирование противоэпидемических мероприятий на территории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25. ПОЛОЖЕНИЕ ПАЦИЕНТА ПРИ ЭКССУДАТИВНОМ ПЕРИКАРДИТЕ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горизонтальное</w:t>
        <w:br/>
        <w:t>б.горизонтальное с приподнятыми ногами</w:t>
        <w:br/>
        <w:t xml:space="preserve">в. сидя с наклоном туловища вперед </w:t>
        <w:br/>
        <w:t>г. лежа на боку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26. МЕДИЦИНСКАЯ СОРТИРОВКА ПРОВОДИТСЯ В ОЧАГЕ ПОРАЖЕНИЯ И НА КАЖДОМ ЭТАПЕ МЕДИЦИНСКОЙ ЭВАКУАЦИИ ПРИ ОКАЗАНИИ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квалифицированной и специализированной</w:t>
        <w:br/>
        <w:t xml:space="preserve">б. всех видов медицинской помощи </w:t>
        <w:br/>
        <w:t>в. доврачебной помощи</w:t>
        <w:br/>
        <w:t>г. только первой помощи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27. СРЕДНИМ ВОЗРАСТОМ НАЧАЛА МЕНОПАУЗЫ ПРИНЯТО СЧИТАТЬ (ЛЕТ))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40-42</w:t>
        <w:br/>
        <w:t>б. 55-57</w:t>
        <w:br/>
        <w:t xml:space="preserve">в.49-51 </w:t>
        <w:br/>
        <w:t>г. 60-62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28.  МАНИПУЛЯТИВНОЕ ОБЩЕНИЕ – ЭТО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беспредметное общение</w:t>
        <w:br/>
        <w:t xml:space="preserve">б. способ получить выгоду от собеседника </w:t>
        <w:br/>
        <w:t>в. формальное общение</w:t>
        <w:br/>
        <w:t>г. общение с учетом личности собеседника</w:t>
      </w:r>
    </w:p>
    <w:p>
      <w:pPr>
        <w:pStyle w:val="Normal"/>
        <w:spacing w:lineRule="auto" w:line="240" w:beforeAutospacing="1" w:afterAutospacing="1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29. ОСНОВНЫМ МОРФОЛОГИЧЕСКИМ ЭЛЕМЕНТОМ ПРИ КОРИ ЯВЛЯЕТСЯ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пустула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б. экхимоз</w:t>
        <w:br/>
        <w:t>в. везикула</w:t>
        <w:br/>
        <w:t xml:space="preserve">г. папула 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30.  Основным признаком коматозного состояния является: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Угнетение гемодинамики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б. Угнетение дыхания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в. Угнетение центральной нервной системы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г. Угнетение периферической нервной системы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sz w:val="23"/>
          <w:szCs w:val="23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31. ПОСЛЕ ОПЕРАЦИИ ПО УДАЛЕНИЮ КАТАРАКТЫ ПАЦИЕНТЫ ДОЛЖНЫ ЛЕЖАТЬ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на боку</w:t>
        <w:br/>
        <w:t>б. на спине 3 суток</w:t>
        <w:br/>
        <w:t>в. лицом вниз</w:t>
        <w:br/>
        <w:t xml:space="preserve">г. 2 часа на спине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32. МЕТОДОМ ДИАГНОСТИКИ ИНФАРКТА МИОКАРДА ЯВЛЯЕТСЯ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исследование иммунограммы</w:t>
        <w:br/>
        <w:t>б. рентгенография грудной клетки</w:t>
        <w:br/>
        <w:t>в. исследование уровня трансаминаз</w:t>
        <w:br/>
        <w:t xml:space="preserve">г. электрокардиография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33. ДИСПАНСЕРИЗАЦИЮ БОЛЬНЫХ, ПЕРЕНЕСШИХ НЕСПЕЦИФИЧЕСКИЙ ЭКССУДАТИВНЫЙ ПЛЕВРИТ, ПРОВОДИТ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рентгенолог</w:t>
        <w:br/>
        <w:t xml:space="preserve">б.терапевт </w:t>
        <w:br/>
        <w:t>в. онколог</w:t>
        <w:br/>
        <w:t>г. фтизиатр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34. БОЛЬШИЕ ДОЗЫ УЛЬТРАФИОЛЕТОВОГО ОБЛУЧЕНИЯ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провоцируют развитие злокачественных новообразований </w:t>
        <w:br/>
        <w:t>б. оказывают тонизирующее и регулирующее влияние на ЦНС</w:t>
        <w:br/>
        <w:t>в. способствуют замедлению обмена в тканях</w:t>
        <w:br/>
        <w:t>г. способствуют повышению секреторной функции желудочно-кишечного тракта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35. РАЦИОНАЛЬНАЯ ТАКТИКА ПРИ ПРОНИКАЮЩЕМ РАНЕНИИ ЖИВОТА И ВЫПАДЕНИИ ПЕТЕЛЬ КИШЕЧНИКА НА ДОГОСПИТАЛЬНОМ ЭТАПЕ ВКЛЮЧАЕТ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обезболивание, наложение асептической повязки пропитанной физиологическим раствором на выпавшие петли и слабую их фиксацию к туловищу бинтом, без вправления петель кишечника в брюшную полость, инфузионную терапию, госпитализацию в хирургический стационар</w:t>
        <w:br/>
        <w:t>б.. вправление петли кишечника в брюшную полость, асептическую повязку, госпитализацию в хирургический стационар</w:t>
        <w:br/>
        <w:t>в. срочную госпитализацию в хирургический стационар без дополнительных лечебных мероприятий</w:t>
        <w:br/>
        <w:t>г. введение антибиотиков, наложение асептической повязки с охлаждением, госпитализацию в хирургический стационар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36. ХАРАКТЕРНЫМ ДЛЯ ОСТРОГО АППЕНДИЦИТА ЯВЛЯЕТСЯ СИМПТОМ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а.Щёткина-Блюмберга</w:t>
        <w:br/>
        <w:t>б.Пастернацкого</w:t>
        <w:br/>
        <w:t>в. Ортнера</w:t>
        <w:br/>
        <w:t>г. Мерфи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37. ЕСТЕСТВЕННЫЙ МЕХАНИЗМ ПЕРЕДАЧИ ИНФЕКЦИЙ, СВЯЗАННЫХ С ОКАЗАНИЕМ МЕДИЦИНСКОЙ ПОМОЩИ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 xml:space="preserve">а. фекально-оральный </w:t>
        <w:br/>
        <w:t>б. парентеральный</w:t>
        <w:br/>
        <w:t>в. через перевязочный материал</w:t>
        <w:br/>
        <w:t>г. через руки медицинского персонала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38. НЕСЧАСТНЫЕ СЛУЧАИ НА ПРОИЗВОДСТВЕ ПОДЛЕЖАТ РАССЛЕДОВАНИЮ С СОСТАВЛЕНИЕМ АКТА ПО ФОРМЕ Н-1 ПРИ ПОТЕРЕ ТРУДОСПОСОБНОСТИ НА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5 дней</w:t>
        <w:br/>
        <w:t xml:space="preserve">б. 1 день и более </w:t>
        <w:br/>
        <w:t>в. 7 дней</w:t>
        <w:br/>
        <w:t>г. 10 дней и более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39. ВТОРАЯ РЕВАКЦИНАЦИЯ ПРОТИВ ПОЛИОМИЕЛИТА ПРОВОДИТСЯ В ВОЗРАСТЕ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1 год</w:t>
        <w:br/>
        <w:t xml:space="preserve">б.20 месяцев </w:t>
        <w:br/>
        <w:t>в. 3 месяца</w:t>
        <w:br/>
        <w:t>г. 10 месяцев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40. К НАРУШЕНИЮ ФУНКЦИИ ПРОВОДИМОСТИ СЕРДЦА ОТНОСИТСЯ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пароксизмальная тахикардия</w:t>
        <w:br/>
        <w:t xml:space="preserve">б. полная атриовентрикулярная блокада </w:t>
        <w:br/>
        <w:t>в. синусовая тахикардия</w:t>
        <w:br/>
        <w:t>г. синусовая брадикардия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41. ИЗМЕНЕНИЕ ПОКАЗАТЕЛЯ КРОВИ, КОТОРОЕ МОЖЕТ УКАЗЫВАТЬ НА ПРИЧИНУ РАЗВИТИЯ СУДОРОЖНОГО СИНДРОМА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 xml:space="preserve">а. снижением уровня кальция </w:t>
        <w:br/>
        <w:t>б. повышением уровня фосфора</w:t>
        <w:br/>
        <w:t>в. снижением уровня сывороточного железа</w:t>
        <w:br/>
        <w:t>г.повышением уровня кальция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42. № ФЕДЕРАЛЬНОГО ЗАКОНА ОТ 21 НОЯБРЯ 2011Г. "ОБ ОСНОВАХ ОХРАНЫ ЗДОРОВЬЯ ГРАЖДАН РФ"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а.870-ФЗ</w:t>
        <w:br/>
        <w:t xml:space="preserve">б. 323-ФЗ </w:t>
        <w:br/>
        <w:t>в. 320-ФЗ</w:t>
        <w:br/>
        <w:t>г. 597н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43. ГРАЖДАНЕ, У КОТОРЫХ НЕ УСТАНОВЛЕНЫ ХРОНИЧЕСКИЕ НЕИНФЕКЦИОННЫЕ ЗАБОЛЕВАНИЯ, НО ИМЕЮТСЯ ФАКТОРЫ РИСКА ИХ РАЗВИТИЯ, ОТНОСЯТСЯ К ГРУППЕ ЗДОРОВЬЯ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IIIа</w:t>
        <w:br/>
        <w:t>б. IIIб</w:t>
        <w:br/>
        <w:t xml:space="preserve">в. II </w:t>
        <w:br/>
        <w:t>г. I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44.  «СРЕДНЮЮ ПОРЦИЮ» СТРУИ МОЧИ СОБИРАЮТ УТРОМ ДЛЯ ИССЛЕДОВАНИЯ ПО МЕТОДУ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Нечипоренко </w:t>
        <w:br/>
        <w:t>б. суточная протеинурия</w:t>
        <w:br/>
        <w:t>в. Проба Реберга</w:t>
        <w:br/>
        <w:t>г. Зимницкого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45. ЭТАПНОСТЬ ПОЯВЛЕНИЯ СЫПИ ПРИ ВЕТРЯНОЙ ОСПЕ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шея - конечности - грудь</w:t>
        <w:br/>
        <w:t>б. лицо - шея - все туловище</w:t>
        <w:br/>
        <w:t>в. шея - туловище - лицо - конечности</w:t>
        <w:br/>
        <w:t xml:space="preserve">г. этапности нет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46. ОБЩЕСТВЕННОЕ ЗДОРОВЬЕ ОПРЕДЕЛЯЮТ, КАК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здоровье людей определенной этнической группы</w:t>
        <w:br/>
        <w:t>б. здоровье группы людей</w:t>
        <w:br/>
        <w:t xml:space="preserve">в. здоровье населения страны </w:t>
        <w:br/>
        <w:t>г. личное здоровье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47. ОСНОВНОЙ ПРИЧИНОЙ ГИБЕЛИ БОЛЬШИНСТВА ПОСТРАДАВШИХ ПРИ ЧРЕЗВЫЧАЙНЫХ СИТУАЦИЯХ ЯВЛЯЕТСЯ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недостаточное обеспечение средствами защиты</w:t>
        <w:br/>
      </w: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  <w:lang w:eastAsia="ru-RU"/>
        </w:rPr>
        <w:t xml:space="preserve">б. несвоевременность оказания медицинской помощи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в. неорганизованные эвакуационные мероприятия</w:t>
        <w:br/>
        <w:t>г. воздействие механического поражающего фактора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48. У ПОСТРАДАВШЕГО ЕСТЬ ШАНС ВЫЖИТЬ, ЕСЛИ МЕДИЦИНСКАЯ ПОМОЩЬ БУДЕТ ОКАЗАНА В ТЕЧЕНИЕ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двух часов</w:t>
        <w:br/>
        <w:t>б. трех часов</w:t>
        <w:br/>
        <w:t xml:space="preserve">в. первого часа </w:t>
        <w:br/>
        <w:t>г. первых суток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49. ОСНОВНОЙ ЖАРОПОНИЖАЮЩИЙ ПРЕПАРАТ В ДЕТСКОЙ ПРАКТИКЕ, ПРИМЕНЯЮЩИЙСЯ ДЛЯ БОРЬБЫ С ГИПЕРТЕРМИЧЕСКИМ СИНДРОМОМ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анальгин</w:t>
        <w:br/>
        <w:t>б. пипольфен</w:t>
        <w:br/>
        <w:t>в. баралгин</w:t>
        <w:br/>
        <w:t>г. парацетамол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50. НАЛИЧИЕ ПУЗЫРНО-МОЧЕТОЧНИКОВЫХ РЕФЛЮКСОВ МОЖНО ВЫЯВИТЬ ПРИ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сцинтиграфии</w:t>
        <w:br/>
        <w:t>б. внутривенной урографии</w:t>
        <w:br/>
        <w:t>в. цистоскопии</w:t>
        <w:br/>
        <w:t>г. цистографии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51. ПРИ ОБЩЕНИИ С ПАЦИЕНТОМ В КРИЗИСЕ ПОЛЕЗНО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говорить «все будет хорошо»</w:t>
        <w:br/>
        <w:t xml:space="preserve">б. сочувствовать пациенту </w:t>
        <w:br/>
        <w:t>в. запрещать пациенту выражать чувства</w:t>
        <w:br/>
        <w:t>г. употреблять незнакомые пациенту медицинские термины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52. ПРИ ЛЕГОЧНОМ КРОВОТЕЧЕНИИ ВЫДЕЛЯЕТСЯ КРОВЬ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 xml:space="preserve">а. алая и пенистая </w:t>
        <w:br/>
        <w:t>б. темно-вишневого цвета</w:t>
        <w:br/>
        <w:t>в. темная, сгустками</w:t>
        <w:br/>
        <w:t>г. типа «кофейной гущи»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53. ПРИ ГИПЕРГЛИКЕМИЧЕСКОЙ КОМЕ КОЖНЫЕ ПОКРОВЫ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цианотичные</w:t>
        <w:br/>
        <w:t>б. влажные</w:t>
        <w:br/>
        <w:t>в. гиперемированные</w:t>
        <w:br/>
        <w:t>г. сухие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54. ОДНИМ ИЗ МЕРОПРИЯТИЙ УСПЕШНОГО ЛЕЧЕНИЯ ОСТРОГО ГЕМАТОГЕННОГО ОСТЕОМИЕЛИТА ЯВЛЯЕТСЯ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массаж конечности</w:t>
        <w:br/>
        <w:t>б.активные движения в суставах конечности</w:t>
        <w:br/>
        <w:t>в. наложение согревающего компресса</w:t>
        <w:br/>
        <w:t xml:space="preserve">г. иммобилизация конечности гипсовой повязкой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55. ПРИ ДИСПАНСЕРИЗАЦИИ ПАЦИЕНТОВ С ЯЗВЕННОЙ БОЛЕЗНЬЮ ПРОВОДИТСЯ ДОПОЛНИТЕЛЬНЫЙ МЕТОД ОБСЛЕДОВАНИЯ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дуоденальное зондирование</w:t>
        <w:br/>
        <w:t>б. ректороманоскопия</w:t>
        <w:br/>
        <w:t>в. холецистография</w:t>
        <w:br/>
        <w:t xml:space="preserve">г. фиброгастроскопия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56. ПРИ СИНДРОМЕ АТЕЛЕКТАЗА НАД ПОДЖАТЫМ ЛЕГКИМ ОПРЕДЕЛЯЕТСЯ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 xml:space="preserve">а. ослабленное везикулярное дыхание </w:t>
        <w:br/>
        <w:t>б. бронхиальное дыхание</w:t>
        <w:br/>
        <w:t>в. жесткое дыхание</w:t>
        <w:br/>
        <w:t>г. пуэрильное дыхание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57. ЛАБОРАТОРНЫМ КРИТЕРИЕМ ЭФФЕКТИВНОСТИ ЛЕЧЕНИЯ ПРИ ВНУТРЕННЕМ КРОВОТЕЧЕНИИ ЯВЛЯЕТСЯ НОРМАЛИЗАЦИЯ ПОКАЗАТЕЛЯ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уровня хлоридов</w:t>
        <w:br/>
        <w:t xml:space="preserve">б. гематокрита </w:t>
        <w:br/>
        <w:t>в. уровня тропонинов</w:t>
        <w:br/>
        <w:t>г. парциального давления кислорода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58. ПРИ КАШЛЕ С ГНОЙНОЙ МОКРОТОЙ ПРОТИВОПОКАЗАН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br/>
        <w:t>а. амбробене</w:t>
        <w:br/>
        <w:t>б. мукалтин</w:t>
        <w:br/>
        <w:t>в. бромгексин</w:t>
        <w:br/>
        <w:t xml:space="preserve">г. кодеин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59. ДИАГНОСТИЧЕСКИЕ КРИТЕРИИ ФАКТОРА РИСКА «ОЖИРЕНИЕ»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а. индекс массы тела 30 кг/м2 и более </w:t>
        <w:br/>
        <w:t>б. масса тела более 100 кг</w:t>
        <w:br/>
        <w:t>в. масса тела более 80 кг</w:t>
        <w:br/>
        <w:t>г. индекс массы тела 25 - 29,9 кг/м2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60. ОСНОВНЫЕ ЗАДАЧИ МЕДИЦИНСКОЙ РЕАБИЛИТАЦИ ПАЦИЕНТОВ С ПОЛИОСТЕОАРТРОЗОМ</w:t>
        <w:br/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а. повышение выносливости мускулатуры конечностей</w:t>
        <w:br/>
        <w:t>б. коррекция болевых ощущений</w:t>
        <w:br/>
        <w:t>в. ускорение процессов регенерации и репарации</w:t>
        <w:br/>
        <w:t xml:space="preserve">г. восстановление функциональной подвижности пораженных суставов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57035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840d9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BD2D8-C699-4398-9BC6-2F42D613C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Application>LibreOffice/6.0.4.2$Windows_x86 LibreOffice_project/9b0d9b32d5dcda91d2f1a96dc04c645c450872bf</Application>
  <Pages>9</Pages>
  <Words>1464</Words>
  <Characters>9590</Characters>
  <CharactersWithSpaces>11046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2022-01-12T10:02:00Z</dcterms:created>
  <dc:creator>User</dc:creator>
  <dc:description/>
  <dc:language>ru-RU</dc:language>
  <cp:lastModifiedBy/>
  <dcterms:modified xsi:type="dcterms:W3CDTF">2022-04-17T17:03:13Z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