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ТЕСТЫ ПО СПЕЦИАЛЬНОСТИ</w:t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«ЛАБОРАТОРНАЯ ДИАГНОСТИКА»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i/>
          <w:i/>
          <w:iCs/>
          <w:sz w:val="26"/>
          <w:szCs w:val="26"/>
          <w:u w:val="single"/>
        </w:rPr>
      </w:pPr>
      <w:r>
        <w:rPr>
          <w:rFonts w:ascii="Times New Roman" w:hAnsi="Times New Roman"/>
          <w:b/>
          <w:i/>
          <w:iCs/>
          <w:sz w:val="26"/>
          <w:szCs w:val="26"/>
          <w:u w:val="single"/>
        </w:rPr>
        <w:t>Инструкция: необходимо выбрать один правильный ответ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276" w:before="0" w:after="0"/>
        <w:jc w:val="left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1. На результаты анализа могут влиять следующие факторы внутрилабораторного характера:</w:t>
      </w:r>
    </w:p>
    <w:p>
      <w:pPr>
        <w:pStyle w:val="Normal"/>
        <w:spacing w:lineRule="auto" w:line="276" w:before="0" w:after="0"/>
        <w:jc w:val="left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6"/>
          <w:szCs w:val="26"/>
        </w:rPr>
        <w:t>1.</w:t>
      </w:r>
      <w:r>
        <w:rPr>
          <w:rFonts w:ascii="Times New Roman" w:hAnsi="Times New Roman"/>
          <w:b/>
          <w:bCs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bCs/>
          <w:i w:val="false"/>
          <w:iCs w:val="false"/>
          <w:sz w:val="26"/>
          <w:szCs w:val="26"/>
        </w:rPr>
        <w:t>условия хранения пробы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2. характер пипетирования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3. гемолиз, липемия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4. используемые методы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5. все перечисленные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800" w:hanging="0"/>
        <w:contextualSpacing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/>
          <w:bCs/>
          <w:i w:val="false"/>
          <w:iCs w:val="false"/>
          <w:sz w:val="26"/>
          <w:szCs w:val="26"/>
        </w:rPr>
        <w:t xml:space="preserve">2. 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t>Внелабораторные погрешности связаны с: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1. неправильным приготовление реактивов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2. плохим качеством приборов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3. использованием неточного метода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4. нарушением условий хранения проб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5. неправильной подготовкой пациента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800" w:hanging="0"/>
        <w:contextualSpacing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/>
          <w:bCs/>
          <w:i w:val="false"/>
          <w:iCs w:val="false"/>
          <w:sz w:val="26"/>
          <w:szCs w:val="26"/>
        </w:rPr>
        <w:t xml:space="preserve">3. 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t>После каждого использования дезинфекции должны подвергаться: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1. лабораторная посуда (капилляры, предметные стекла, пробирки, меланжеры, счетные камеры и т.д.)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2. резиновые груши, баллоны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3. лабораторные инструменты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4. кюветы измерительной аппаратуры, пластиковые пробирки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5. все перечисленное</w:t>
      </w:r>
    </w:p>
    <w:p>
      <w:pPr>
        <w:pStyle w:val="ListParagraph"/>
        <w:spacing w:lineRule="auto" w:line="276" w:before="0" w:after="0"/>
        <w:ind w:left="720" w:hanging="0"/>
        <w:contextualSpacing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/>
          <w:bCs/>
          <w:i w:val="false"/>
          <w:iCs w:val="false"/>
          <w:sz w:val="26"/>
          <w:szCs w:val="26"/>
        </w:rPr>
        <w:t xml:space="preserve">4. 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t>Систематическая погрешность: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1. не зависит от значения измеряемой величины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2. зависит от значения измеряемой величины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3. составляющая погрешности, повторяющаяся в серии измерений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4. разность между измеренным и действительным значением измеряемой величины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5. справедливы 1, 2, и 3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800" w:hanging="0"/>
        <w:contextualSpacing/>
        <w:rPr>
          <w:rFonts w:ascii="Times New Roman" w:hAnsi="Times New Roman"/>
          <w:b/>
          <w:b/>
          <w:bCs/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bCs/>
          <w:i w:val="false"/>
          <w:iCs w:val="false"/>
          <w:sz w:val="26"/>
          <w:szCs w:val="26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/>
          <w:bCs/>
          <w:i w:val="false"/>
          <w:iCs w:val="false"/>
          <w:sz w:val="26"/>
          <w:szCs w:val="26"/>
        </w:rPr>
        <w:t xml:space="preserve">5. 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t>Основная структурно-функциональная единица почек: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1. Клубочек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2. Каналец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3. Собирательная трубочка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4. Нефрон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5. Все перечисленное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800" w:hanging="0"/>
        <w:contextualSpacing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/>
          <w:bCs/>
          <w:i w:val="false"/>
          <w:iCs w:val="false"/>
          <w:sz w:val="26"/>
          <w:szCs w:val="26"/>
        </w:rPr>
        <w:t xml:space="preserve">6. 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t>Виды клеток многослойного плоского эпителия влагалища: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1. Поверхностные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2. Промежуточные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3. Парабазальные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4. Базальные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Cs/>
          <w:i w:val="false"/>
          <w:iCs w:val="false"/>
          <w:sz w:val="26"/>
          <w:szCs w:val="26"/>
        </w:rPr>
        <w:t>5. Все перечисленные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800" w:hanging="0"/>
        <w:contextualSpacing/>
        <w:rPr>
          <w:rFonts w:ascii="Times New Roman" w:hAnsi="Times New Roman"/>
          <w:b/>
          <w:b/>
          <w:bCs/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bCs/>
          <w:i w:val="false"/>
          <w:iCs w:val="false"/>
          <w:sz w:val="26"/>
          <w:szCs w:val="26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/>
        <w:contextualSpacing/>
        <w:rPr/>
      </w:pPr>
      <w:r>
        <w:rPr>
          <w:rFonts w:ascii="Times New Roman" w:hAnsi="Times New Roman"/>
          <w:b/>
          <w:bCs/>
          <w:i w:val="false"/>
          <w:iCs w:val="false"/>
          <w:sz w:val="26"/>
          <w:szCs w:val="26"/>
        </w:rPr>
        <w:t xml:space="preserve">7. 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t>Наиболее точным методом  определения гемоглобина является:</w:t>
      </w:r>
    </w:p>
    <w:p>
      <w:pPr>
        <w:pStyle w:val="Normal"/>
        <w:spacing w:lineRule="auto" w:line="276" w:before="0" w:after="0"/>
        <w:ind w:hanging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6"/>
          <w:szCs w:val="26"/>
        </w:rPr>
        <w:t xml:space="preserve">1. </w:t>
      </w:r>
      <w:r>
        <w:rPr>
          <w:rFonts w:ascii="Times New Roman" w:hAnsi="Times New Roman"/>
          <w:i w:val="false"/>
          <w:iCs w:val="false"/>
          <w:sz w:val="26"/>
          <w:szCs w:val="26"/>
        </w:rPr>
        <w:t>определение солянокислого гемоглобина.</w:t>
      </w:r>
    </w:p>
    <w:p>
      <w:pPr>
        <w:pStyle w:val="Normal"/>
        <w:spacing w:lineRule="auto" w:line="276" w:before="0" w:after="0"/>
        <w:ind w:hanging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определение карбоксигемоглобина.</w:t>
      </w:r>
    </w:p>
    <w:p>
      <w:pPr>
        <w:pStyle w:val="Normal"/>
        <w:spacing w:lineRule="auto" w:line="276" w:before="0" w:after="0"/>
        <w:ind w:hanging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цианметгемоглобиновый метод.</w:t>
      </w:r>
    </w:p>
    <w:p>
      <w:pPr>
        <w:pStyle w:val="Normal"/>
        <w:spacing w:lineRule="auto" w:line="276" w:before="0" w:after="0"/>
        <w:ind w:hanging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определение метгемоглобина</w:t>
      </w:r>
    </w:p>
    <w:p>
      <w:pPr>
        <w:pStyle w:val="Normal"/>
        <w:spacing w:lineRule="auto" w:line="276" w:before="0" w:after="0"/>
        <w:ind w:hanging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5.все методы равнозначны.</w:t>
      </w:r>
    </w:p>
    <w:p>
      <w:pPr>
        <w:pStyle w:val="Normal"/>
        <w:spacing w:lineRule="auto" w:line="276" w:before="0" w:after="0"/>
        <w:ind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8. Под  « относительным нейтрофилезом»  понимают: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Увеличение процентного содержания нейтрофилов, но нормальное их абсолютное число.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увеличение процентного   и  абсолютного содержания нейтрофилов.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увеличение процентного содержания нейтрофилов.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увеличение их  абсолютного числа.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5. увеличение процентного содержания нейтрофилов.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9. Под абсолютным   количеством лейкоцитов понимают 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процентное содержание отдельных видов лейкоцитов в лейкоформуле.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количество лейкоцитов  в  1 л крови.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количество  лейкоцитов в мазке перифирической крови.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все ответы правильные.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5. все ответы  неправильные.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10.  Анизоцитоз  -  это изменение: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формы эритроцитов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количества эритроцитов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содержания гемоглобина в эритроците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размера эритроцита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5. всех перечисленных параметров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11. Пойкилоцитоз  -   это  изменение: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формы эритроцитов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размера эритроцитов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интенсивности окраски эритроцитов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объема эритроцитов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5. всех перечисленных параметров.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12. Унифицированный метод  подсчета эритроцитов 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в автоматическом  счетчике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в камере  Горяева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в  мазке  крови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и в автоматическом счетчике  и в камере   Горяева.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5. нет  правильного ответа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13. Источником  ошибок при определении  СОЭ могут служить: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1. неправильное  соотношение  между  цитратом натрия и кровью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2. образовании сгустка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3. косое положение  капилляра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4. несоблюдение температурного режима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5. все перечисленное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14. Гранулоциты   образуются в: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селезенке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костном мозге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3. лимфатических узлах 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селезенке и лимфатических узлах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5. печени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15. Эозинопения   характерна  для: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6"/>
          <w:szCs w:val="26"/>
        </w:rPr>
        <w:t xml:space="preserve">1. </w:t>
      </w:r>
      <w:r>
        <w:rPr>
          <w:rFonts w:ascii="Times New Roman" w:hAnsi="Times New Roman"/>
          <w:i w:val="false"/>
          <w:iCs w:val="false"/>
          <w:sz w:val="26"/>
          <w:szCs w:val="26"/>
        </w:rPr>
        <w:t>аллергического заболевания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паразитарные заболевания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острый  лейкоз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реакции на стрессы ( травмы, ожоги, сепсис)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5. все перечисленное верно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16. Какой  раствор необходимо  нанести на предметное стекло для приготовления  нативного  мазка для  исследования на  простейшие 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глицерин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дистиллированную воду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3. изотонический раствор </w:t>
      </w:r>
      <w:r>
        <w:rPr>
          <w:rFonts w:ascii="Times New Roman" w:hAnsi="Times New Roman"/>
          <w:i w:val="false"/>
          <w:iCs w:val="false"/>
          <w:sz w:val="26"/>
          <w:szCs w:val="26"/>
          <w:lang w:val="en-US"/>
        </w:rPr>
        <w:t>NaCl</w:t>
      </w:r>
    </w:p>
    <w:p>
      <w:pPr>
        <w:pStyle w:val="Normal"/>
        <w:spacing w:lineRule="auto" w:line="276" w:before="0" w:after="0"/>
        <w:rPr>
          <w:rFonts w:ascii="Times New Roman" w:hAnsi="Times New Roman"/>
          <w:b/>
          <w:b/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 xml:space="preserve">17. Циста это 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активная подвижная форма паразита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неактивная  подвижная форма паразита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неактивная неподвижная форма паразита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18. На результаты анализа могут повлиять следующие факторы внелабораторного анализа: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физическое и эмоциональное напряжение больного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влияние климата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положение тела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прием медикаментов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5. все перечисленное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19. На  результаты анализа могут  повлиять следующие факторы  внутрилабораторного  характера: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условия хранения пробы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характер пипетирования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гемолиз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используемые методы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5. все перечисленные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20. Формы  контроля качества 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внутрилабораторный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межлабораторный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контроль на месте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все перечисленное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21. Щелочная реакция мочи часто наблюдается  при: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цистите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пиелонефрите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остром гломерулонефрите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мочекаменной болезни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5. амилоидозе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22. Фосфаты  в моче растворяются при 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добавлении щелочи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добавлении кислоты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нагревании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добавлении кальция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5. во всех  перечисленных случаях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23. На  основании пробы  Зимницкого можно судить о 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клиренсе  эндогенного креатина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реабсорбция калия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клиренсе инсулина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концентрационной  способности почек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5. синтезе ренина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24. Увеличение  ночного диуреза  называется 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полиурией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олигурией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анурией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полакизурией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5. никтурией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25. Относительная плотность  утренней порции мочи в норме составляет в  среднем 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1. 1.000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2. 1.004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3. 1010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4. 1015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26. Моча имеет цвет пива при: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остром гломерулонефрите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туберкулезе почек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паренхиматозном гепатите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гемолитической желтухе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5. мочекаменной болезни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27. Значительно повышает относительную плотность мочи: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билирубин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белок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соли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глюкоза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5. слизь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28. Термин  «анизоцитоз»  означает 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эритроциты   измененной формы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эритроциты разного диаметра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эритроциты с различной интенсивностью окраски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малое количество эритроцитов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 xml:space="preserve">29. Специфический   компонент  эритроцита: 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гликоген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АТФ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гемоглобин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глютатион- редуктаза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5. все  перечисленное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t>30. Нормальное количество эритроцитов в 1 мл. мочи по методу Нечипоренко составляет до: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1  тыс.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4  тыс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6  тыс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10 тыс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5. 40 тыс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31. Нормальное количество лейкоцитов в 1 Мл мочи по методу Нечипоренко составляет до 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 1  тыс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 2  тыс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 4  тыс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 8  тыс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5.  10 тыс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32. Подсчет тромбоцитов  осуществляется  в  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 мазке крови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 мазке крови на 1000 эритроцитов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 мазке крови на 1000 лейкоцитов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 в 1 мкл крови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5.  все перечисленное верно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33. Гемоглобин выполняет функцию: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1. транспорта метаболитов 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пластическую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транспорта кислорода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энергетическую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34. Размер яиц кошачьего сосальщика: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26-30   мкм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60-80   мкм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3.140-160мкм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35. Защитный механизм лактобактерий обусловлен: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поддержанием кислой среды влагалищ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поддержанием  щелочной среды  влагалища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поддержанием иммунитета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36. Движение трихомонады: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беспорядочное, суетливое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быстрое по прямой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неподвижные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37. Аминокислоты в  печени расходуются на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синтез белков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синтез  гемоглобина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синтез  липидов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синтез гормонов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38. Минимальное число полей зрения  толстой  капли крови , которое  необходимо посмотреть при стандартном  исследовании крови на  малярию, составляет 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1. 10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2. 50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3. 100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4. 200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5. 300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t>39. В  каких  испражнениях  больного можно обнаружить большую  ( тканевую) вегетативную форму дизентерийной амебы: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в жидких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в полуоформленных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в  оформленных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40. Сколько  ядер имеет  зрелая циста дизентерийной амебы: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три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одно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четыре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41. В  каких отделах  кишечника обитают  лямблии: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1. в  желчном пузыре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2. в  12-ти перстной  кишке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3. в  толстом  кишечнике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42. Гельминтоз ,  которым  можно заразиться в клинической  лаборатории: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1. аскаридоз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2. трихоцефалез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3. энтеробиоз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4. все  перечисленное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43. Диагностического  значения не имеют единичные  в  препарате: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1. зернистые  цилиндры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2. восковидные  цилиндры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3. гиалиновые цилиндры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4. эритроцитарные  цилиндры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44. Углеводы в  организме выполняют все  следующие функции , кроме: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1. энергетической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2. структурной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3. транспортной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4. пластической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45. Почки выполняют следующие  функции: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1. гомеостатическую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2. экскреторную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3. мочеобразовательную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4. регуляцию    осмотического состояния крови  и  тканей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5. все  перечисленное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t>46. Перед  исследованием кала больной  не должен принимать 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1. слабительные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2. препараты висмута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3. препараты  железа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4. все  перечисленное верно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5. все  перечисленное не верно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47. Суточное количество   кала  увеличивается при: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1. белковой  пище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2. растительной пище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3. смешанном  питании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4. жировой  пище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5. все перечисленное верно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48. Способом выявления случайных погрешностей является: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1. метод  параллельных  проб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2. выбор  аналитического метода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3. последовательная регистрация анализов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4. связь лаборатории с  лечащим врачом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iCs w:val="false"/>
          <w:sz w:val="26"/>
          <w:szCs w:val="26"/>
        </w:rPr>
        <w:t>5. все  перечисленное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49. Как  часто проводится  внутрилабораторный контроль качества: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через  каждые 20  проб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1  раз  в  день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1  раз  в  неделю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1  раз  в месяц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50. При  вирусном  гепатите в  дожелтушный  период в  крови повышается фермент: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АЛТ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ЛДГ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ГДП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щелочная  фосфотаза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bCs/>
          <w:i w:val="false"/>
          <w:iCs w:val="false"/>
          <w:sz w:val="26"/>
          <w:szCs w:val="26"/>
        </w:rPr>
        <w:t>51. При  остром  панкреатите наиболее ранним диагностическим признаком является: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увеличение активности а- амилазы  мочи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увеличение а- амилазы крова в первые  6-12 часов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уменьшение активности а- амилазы мочи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jc w:val="left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52. Миллимолярный раствор это:</w:t>
      </w:r>
    </w:p>
    <w:p>
      <w:pPr>
        <w:pStyle w:val="Normal"/>
        <w:spacing w:lineRule="auto" w:line="276" w:before="0" w:after="0"/>
        <w:jc w:val="left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0,1 моль вещества в 1 л раствора</w:t>
      </w:r>
    </w:p>
    <w:p>
      <w:pPr>
        <w:pStyle w:val="Normal"/>
        <w:spacing w:lineRule="auto" w:line="276" w:before="0" w:after="0"/>
        <w:jc w:val="left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0,001  моль вещества в 1 л раствора</w:t>
      </w:r>
    </w:p>
    <w:p>
      <w:pPr>
        <w:pStyle w:val="Normal"/>
        <w:spacing w:lineRule="auto" w:line="276" w:before="0" w:after="0"/>
        <w:jc w:val="left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0.01 моль вещества  в 1 л раствора</w:t>
      </w:r>
    </w:p>
    <w:p>
      <w:pPr>
        <w:pStyle w:val="Normal"/>
        <w:spacing w:lineRule="auto" w:line="276" w:before="0" w:after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53. Срок  сохранения стирильности капилляров Панченкова , простерилизованных в  крафтбумаге  составляет</w:t>
      </w:r>
      <w:r>
        <w:rPr>
          <w:rFonts w:ascii="Times New Roman" w:hAnsi="Times New Roman"/>
          <w:i w:val="false"/>
          <w:iCs w:val="false"/>
          <w:sz w:val="26"/>
          <w:szCs w:val="26"/>
        </w:rPr>
        <w:t xml:space="preserve"> 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20  суток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3  суток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1  день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4. 10  дней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t>54. К  какому  классу химической  посуды относятся пробирки: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общего назначения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специального  назначения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мерной  посуде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 xml:space="preserve"> 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t>55. К  какому  классу химической посуды  относятся  кюветы: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общего назначения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мерной посуде</w:t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специального назначения</w:t>
      </w:r>
    </w:p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56. По  какому  принципу определяют чистоту посуды:</w:t>
      </w:r>
    </w:p>
    <w:p>
      <w:pPr>
        <w:pStyle w:val="Normal"/>
        <w:spacing w:lineRule="auto" w:line="276" w:before="0" w:after="0"/>
        <w:jc w:val="left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1. единый  слив</w:t>
      </w:r>
    </w:p>
    <w:p>
      <w:pPr>
        <w:pStyle w:val="Normal"/>
        <w:spacing w:lineRule="auto" w:line="276" w:before="0" w:after="0"/>
        <w:jc w:val="left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2. капли на  стенках</w:t>
      </w:r>
    </w:p>
    <w:p>
      <w:pPr>
        <w:pStyle w:val="Normal"/>
        <w:spacing w:lineRule="auto" w:line="276" w:before="0" w:after="0"/>
        <w:jc w:val="left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i w:val="false"/>
          <w:iCs w:val="false"/>
          <w:sz w:val="26"/>
          <w:szCs w:val="26"/>
        </w:rPr>
        <w:t>3. следы  от подтеков</w:t>
      </w:r>
    </w:p>
    <w:p>
      <w:pPr>
        <w:pStyle w:val="Normal"/>
        <w:spacing w:lineRule="auto" w:line="276" w:before="0" w:after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 xml:space="preserve">57. </w:t>
      </w:r>
      <w:r>
        <w:rPr>
          <w:rFonts w:ascii="Times New Roman" w:hAnsi="Times New Roman"/>
          <w:b/>
          <w:bCs/>
          <w:i w:val="false"/>
          <w:iCs w:val="false"/>
          <w:color w:val="000000"/>
          <w:sz w:val="26"/>
          <w:szCs w:val="26"/>
        </w:rPr>
        <w:t>Наибольшие размеры имеют яйца: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br/>
      </w:r>
      <w:r>
        <w:rPr>
          <w:rFonts w:ascii="Times New Roman" w:hAnsi="Times New Roman"/>
          <w:i w:val="false"/>
          <w:iCs w:val="false"/>
          <w:color w:val="000000"/>
          <w:sz w:val="26"/>
          <w:szCs w:val="26"/>
        </w:rPr>
        <w:t>1. аскарид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br/>
      </w:r>
      <w:r>
        <w:rPr>
          <w:rFonts w:ascii="Times New Roman" w:hAnsi="Times New Roman"/>
          <w:i w:val="false"/>
          <w:iCs w:val="false"/>
          <w:color w:val="000000"/>
          <w:sz w:val="26"/>
          <w:szCs w:val="26"/>
        </w:rPr>
        <w:t>2. власоглава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br/>
      </w:r>
      <w:r>
        <w:rPr>
          <w:rFonts w:ascii="Times New Roman" w:hAnsi="Times New Roman"/>
          <w:i w:val="false"/>
          <w:iCs w:val="false"/>
          <w:color w:val="000000"/>
          <w:sz w:val="26"/>
          <w:szCs w:val="26"/>
        </w:rPr>
        <w:t>3. описторха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br/>
      </w:r>
      <w:r>
        <w:rPr>
          <w:rFonts w:ascii="Times New Roman" w:hAnsi="Times New Roman"/>
          <w:i w:val="false"/>
          <w:iCs w:val="false"/>
          <w:color w:val="000000"/>
          <w:sz w:val="26"/>
          <w:szCs w:val="26"/>
        </w:rPr>
        <w:t>4. фасциолы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br/>
      </w:r>
      <w:r>
        <w:rPr>
          <w:rFonts w:ascii="Times New Roman" w:hAnsi="Times New Roman"/>
          <w:i w:val="false"/>
          <w:iCs w:val="false"/>
          <w:color w:val="000000"/>
          <w:sz w:val="26"/>
          <w:szCs w:val="26"/>
        </w:rPr>
        <w:t>5. острицы</w:t>
      </w:r>
    </w:p>
    <w:p>
      <w:pPr>
        <w:pStyle w:val="Normal"/>
        <w:spacing w:lineRule="auto" w:line="276" w:before="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58.</w:t>
      </w:r>
      <w:r>
        <w:rPr>
          <w:rFonts w:ascii="Times New Roman" w:hAnsi="Times New Roman"/>
          <w:b/>
          <w:bCs/>
          <w:i w:val="false"/>
          <w:iCs w:val="false"/>
          <w:color w:val="000000"/>
          <w:sz w:val="26"/>
          <w:szCs w:val="26"/>
        </w:rPr>
        <w:t>В основе определения групповой принадлежности крови лежит реакция:</w:t>
      </w:r>
      <w:r>
        <w:rPr>
          <w:rFonts w:ascii="Times New Roman" w:hAnsi="Times New Roman"/>
          <w:b/>
          <w:bCs/>
          <w:i w:val="false"/>
          <w:iCs w:val="false"/>
          <w:sz w:val="26"/>
          <w:szCs w:val="26"/>
        </w:rPr>
        <w:br/>
      </w:r>
      <w:r>
        <w:rPr>
          <w:rFonts w:ascii="Times New Roman" w:hAnsi="Times New Roman"/>
          <w:i w:val="false"/>
          <w:iCs w:val="false"/>
          <w:color w:val="000000"/>
          <w:sz w:val="26"/>
          <w:szCs w:val="26"/>
        </w:rPr>
        <w:t>1. агглютинации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br/>
      </w:r>
      <w:r>
        <w:rPr>
          <w:rFonts w:ascii="Times New Roman" w:hAnsi="Times New Roman"/>
          <w:i w:val="false"/>
          <w:iCs w:val="false"/>
          <w:color w:val="000000"/>
          <w:sz w:val="26"/>
          <w:szCs w:val="26"/>
        </w:rPr>
        <w:t>2. преципитации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br/>
      </w:r>
      <w:r>
        <w:rPr>
          <w:rFonts w:ascii="Times New Roman" w:hAnsi="Times New Roman"/>
          <w:i w:val="false"/>
          <w:iCs w:val="false"/>
          <w:color w:val="000000"/>
          <w:sz w:val="26"/>
          <w:szCs w:val="26"/>
        </w:rPr>
        <w:t>3. иммунодиффузии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br/>
      </w:r>
      <w:r>
        <w:rPr>
          <w:rFonts w:ascii="Times New Roman" w:hAnsi="Times New Roman"/>
          <w:i w:val="false"/>
          <w:iCs w:val="false"/>
          <w:color w:val="000000"/>
          <w:sz w:val="26"/>
          <w:szCs w:val="26"/>
        </w:rPr>
        <w:t>4. агрегации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t xml:space="preserve"> </w:t>
      </w:r>
    </w:p>
    <w:p>
      <w:pPr>
        <w:pStyle w:val="Normal"/>
        <w:spacing w:lineRule="auto" w:line="276" w:before="0" w:after="0"/>
        <w:rPr>
          <w:rFonts w:ascii="Times New Roman" w:hAnsi="Times New Roman"/>
          <w:b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</w:r>
    </w:p>
    <w:p>
      <w:pPr>
        <w:pStyle w:val="Normal"/>
        <w:spacing w:lineRule="auto" w:line="276" w:before="0" w:after="0"/>
        <w:rPr>
          <w:i w:val="false"/>
          <w:i w:val="false"/>
          <w:iCs w:val="false"/>
          <w:sz w:val="26"/>
          <w:szCs w:val="26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59.</w:t>
      </w:r>
      <w:r>
        <w:rPr>
          <w:rFonts w:ascii="Times New Roman" w:hAnsi="Times New Roman"/>
          <w:b/>
          <w:i w:val="false"/>
          <w:iCs w:val="false"/>
          <w:color w:val="000000"/>
          <w:sz w:val="26"/>
          <w:szCs w:val="26"/>
        </w:rPr>
        <w:t>С помощью реакции Нонне-Апельта выявляют в ликворе:</w:t>
        <w:br/>
      </w:r>
      <w:r>
        <w:rPr>
          <w:rFonts w:ascii="Times New Roman" w:hAnsi="Times New Roman"/>
          <w:bCs/>
          <w:i w:val="false"/>
          <w:iCs w:val="false"/>
          <w:color w:val="000000"/>
          <w:sz w:val="26"/>
          <w:szCs w:val="26"/>
        </w:rPr>
        <w:t>1. снижение количества альбуминов</w:t>
        <w:br/>
        <w:t>2. снижение количества глобулинов</w:t>
        <w:br/>
        <w:t>3. увеличение количества альбуминов</w:t>
        <w:br/>
        <w:t>4. увеличение общего количества белка</w:t>
        <w:br/>
        <w:t>5. увеличение количества глобулинов</w:t>
      </w:r>
    </w:p>
    <w:p>
      <w:pPr>
        <w:pStyle w:val="Normal"/>
        <w:spacing w:lineRule="auto" w:line="276" w:before="0" w:after="0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 w:val="false"/>
          <w:iCs w:val="false"/>
          <w:sz w:val="26"/>
          <w:szCs w:val="26"/>
        </w:rPr>
        <w:t>60.</w:t>
      </w:r>
      <w:r>
        <w:rPr>
          <w:rFonts w:ascii="Times New Roman" w:hAnsi="Times New Roman"/>
          <w:b/>
          <w:i w:val="false"/>
          <w:iCs w:val="false"/>
          <w:color w:val="000000"/>
          <w:sz w:val="26"/>
          <w:szCs w:val="26"/>
        </w:rPr>
        <w:t>Моча цвета «мясных помоев» отмечается при: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br/>
      </w:r>
      <w:r>
        <w:rPr>
          <w:rFonts w:ascii="Times New Roman" w:hAnsi="Times New Roman"/>
          <w:i w:val="false"/>
          <w:iCs w:val="false"/>
          <w:color w:val="000000"/>
          <w:sz w:val="26"/>
          <w:szCs w:val="26"/>
        </w:rPr>
        <w:t>1. остром диффузном гломерулонефрите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br/>
      </w:r>
      <w:r>
        <w:rPr>
          <w:rFonts w:ascii="Times New Roman" w:hAnsi="Times New Roman"/>
          <w:i w:val="false"/>
          <w:iCs w:val="false"/>
          <w:color w:val="000000"/>
          <w:sz w:val="26"/>
          <w:szCs w:val="26"/>
        </w:rPr>
        <w:t>2. пиелонефрите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br/>
      </w:r>
      <w:r>
        <w:rPr>
          <w:rFonts w:ascii="Times New Roman" w:hAnsi="Times New Roman"/>
          <w:i w:val="false"/>
          <w:iCs w:val="false"/>
          <w:color w:val="000000"/>
          <w:sz w:val="26"/>
          <w:szCs w:val="26"/>
        </w:rPr>
        <w:t>3. сахарном диабете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br/>
      </w:r>
      <w:r>
        <w:rPr>
          <w:rFonts w:ascii="Times New Roman" w:hAnsi="Times New Roman"/>
          <w:i w:val="false"/>
          <w:iCs w:val="false"/>
          <w:color w:val="000000"/>
          <w:sz w:val="26"/>
          <w:szCs w:val="26"/>
        </w:rPr>
        <w:t>4. амилоидозе почек</w:t>
      </w:r>
      <w:r>
        <w:rPr>
          <w:rFonts w:ascii="Times New Roman" w:hAnsi="Times New Roman"/>
          <w:b/>
          <w:i w:val="false"/>
          <w:iCs w:val="false"/>
          <w:sz w:val="26"/>
          <w:szCs w:val="26"/>
        </w:rPr>
        <w:t xml:space="preserve"> </w:t>
      </w:r>
    </w:p>
    <w:p>
      <w:pPr>
        <w:pStyle w:val="Normal"/>
        <w:spacing w:lineRule="auto" w:line="276" w:before="0" w:after="0"/>
        <w:rPr>
          <w:rFonts w:ascii="Times New Roman" w:hAnsi="Times New Roman"/>
          <w:b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</w:r>
    </w:p>
    <w:p>
      <w:pPr>
        <w:pStyle w:val="Style16"/>
        <w:spacing w:before="0" w:after="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e5d4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00000A"/>
      <w:kern w:val="0"/>
      <w:sz w:val="22"/>
      <w:szCs w:val="22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Символ нумерации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yle20">
    <w:name w:val="Title"/>
    <w:basedOn w:val="Normal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533df6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LibreOffice/6.0.2.1$Windows_x86 LibreOffice_project/f7f06a8f319e4b62f9bc5095aa112a65d2f3ac89</Application>
  <Pages>10</Pages>
  <Words>1370</Words>
  <Characters>8383</Characters>
  <CharactersWithSpaces>9699</CharactersWithSpaces>
  <Paragraphs>306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2022-01-17T12:51:00Z</dcterms:created>
  <dc:creator>Администратор</dc:creator>
  <dc:description/>
  <dc:language>ru-RU</dc:language>
  <cp:lastModifiedBy/>
  <cp:lastPrinted>2022-12-29T11:18:00Z</cp:lastPrinted>
  <dcterms:modified xsi:type="dcterms:W3CDTF">2022-12-29T11:20:00Z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