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numPr>
          <w:ilvl w:val="0"/>
          <w:numId w:val="0"/>
        </w:numPr>
        <w:ind w:left="0" w:firstLine="709"/>
        <w:jc w:val="right"/>
        <w:outlineLvl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Приложение № </w:t>
      </w:r>
      <w:r>
        <w:rPr>
          <w:rFonts w:cs="Times New Roman"/>
          <w:sz w:val="28"/>
          <w:szCs w:val="28"/>
        </w:rPr>
        <w:t>4</w:t>
      </w:r>
    </w:p>
    <w:p>
      <w:pPr>
        <w:pStyle w:val="ConsPlusNormal"/>
        <w:numPr>
          <w:ilvl w:val="0"/>
          <w:numId w:val="0"/>
        </w:numPr>
        <w:ind w:left="0" w:firstLine="709"/>
        <w:jc w:val="right"/>
        <w:outlineLvl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 Дополнительному соглашению</w:t>
      </w:r>
    </w:p>
    <w:p>
      <w:pPr>
        <w:pStyle w:val="ConsPlusNormal"/>
        <w:numPr>
          <w:ilvl w:val="0"/>
          <w:numId w:val="0"/>
        </w:numPr>
        <w:ind w:left="0" w:firstLine="709"/>
        <w:jc w:val="right"/>
        <w:outlineLvl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№ </w:t>
      </w:r>
      <w:r>
        <w:rPr>
          <w:rFonts w:cs="Times New Roman"/>
          <w:sz w:val="28"/>
          <w:szCs w:val="28"/>
        </w:rPr>
        <w:t xml:space="preserve">3 от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11.05.2022</w:t>
      </w:r>
    </w:p>
    <w:p>
      <w:pPr>
        <w:pStyle w:val="ConsPlusNormal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 Тарифному соглашению</w:t>
      </w:r>
    </w:p>
    <w:p>
      <w:pPr>
        <w:pStyle w:val="ConsPlusNormal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сфере обязательного медицинского страхования</w:t>
      </w:r>
    </w:p>
    <w:p>
      <w:pPr>
        <w:pStyle w:val="ConsPlusNormal"/>
        <w:numPr>
          <w:ilvl w:val="0"/>
          <w:numId w:val="0"/>
        </w:numPr>
        <w:spacing w:lineRule="auto" w:line="228"/>
        <w:ind w:left="0" w:firstLine="709"/>
        <w:jc w:val="right"/>
        <w:outlineLvl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 территории Ивановской области на 2022 год </w:t>
      </w:r>
    </w:p>
    <w:p>
      <w:pPr>
        <w:pStyle w:val="ConsPlusNormal"/>
        <w:numPr>
          <w:ilvl w:val="0"/>
          <w:numId w:val="0"/>
        </w:numPr>
        <w:spacing w:lineRule="auto" w:line="228"/>
        <w:ind w:left="0" w:firstLine="709"/>
        <w:jc w:val="right"/>
        <w:outlineLvl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spacing w:lineRule="auto" w:line="228"/>
        <w:ind w:left="0" w:firstLine="709"/>
        <w:jc w:val="right"/>
        <w:outlineLvl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«Приложение № 22.1</w:t>
      </w:r>
    </w:p>
    <w:p>
      <w:pPr>
        <w:pStyle w:val="ConsPlusNormal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 Тарифному соглашению</w:t>
      </w:r>
    </w:p>
    <w:p>
      <w:pPr>
        <w:pStyle w:val="ConsPlusNormal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сфере обязательного медицинского страхования</w:t>
      </w:r>
    </w:p>
    <w:p>
      <w:pPr>
        <w:pStyle w:val="ConsPlusNormal"/>
        <w:numPr>
          <w:ilvl w:val="0"/>
          <w:numId w:val="0"/>
        </w:numPr>
        <w:spacing w:lineRule="auto" w:line="228"/>
        <w:ind w:left="0" w:firstLine="709"/>
        <w:jc w:val="right"/>
        <w:outlineLvl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 территории Ивановской области на 2022 год </w:t>
      </w:r>
    </w:p>
    <w:p>
      <w:pPr>
        <w:pStyle w:val="Normal"/>
        <w:spacing w:before="0" w:after="0"/>
        <w:contextualSpacing/>
        <w:rPr/>
      </w:pPr>
      <w:r>
        <w:rPr/>
      </w:r>
    </w:p>
    <w:p>
      <w:pPr>
        <w:pStyle w:val="ConsPlusTitle"/>
        <w:spacing w:before="0" w:after="200"/>
        <w:contextualSpacing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ConsPlusTitle"/>
        <w:spacing w:before="0" w:after="200"/>
        <w:contextualSpacing/>
        <w:jc w:val="center"/>
        <w:rPr>
          <w:sz w:val="28"/>
          <w:szCs w:val="28"/>
        </w:rPr>
      </w:pPr>
      <w:r>
        <w:rPr>
          <w:rFonts w:cs="Times New Roman"/>
          <w:sz w:val="28"/>
          <w:szCs w:val="28"/>
        </w:rPr>
        <w:t>Тарифы на гемодиализ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10275" w:type="dxa"/>
        <w:jc w:val="left"/>
        <w:tblInd w:w="-13" w:type="dxa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50"/>
        <w:gridCol w:w="1550"/>
        <w:gridCol w:w="2950"/>
        <w:gridCol w:w="1300"/>
        <w:gridCol w:w="963"/>
        <w:gridCol w:w="1587"/>
        <w:gridCol w:w="1475"/>
      </w:tblGrid>
      <w:tr>
        <w:trPr/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i w:val="false"/>
                <w:strike w:val="false"/>
                <w:dstrike w:val="false"/>
                <w:color w:val="000000"/>
                <w:sz w:val="20"/>
                <w:u w:val="none"/>
              </w:rPr>
              <w:t xml:space="preserve">№ </w:t>
            </w:r>
            <w:r>
              <w:rPr>
                <w:b/>
                <w:bCs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п/п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Код услуги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Наименование услуги (КСГ)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Условия оказания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Единица оплаты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Коэффициент относительной затратоемкости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spacing w:lineRule="auto" w:line="240" w:before="0" w:after="0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Тариф, руб.*</w:t>
            </w:r>
          </w:p>
        </w:tc>
      </w:tr>
      <w:tr>
        <w:trPr/>
        <w:tc>
          <w:tcPr>
            <w:tcW w:w="102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Title"/>
              <w:numPr>
                <w:ilvl w:val="0"/>
                <w:numId w:val="0"/>
              </w:numPr>
              <w:tabs>
                <w:tab w:val="clear" w:pos="720"/>
              </w:tabs>
              <w:spacing w:before="0" w:after="0"/>
              <w:ind w:left="0" w:hanging="0"/>
              <w:contextualSpacing/>
              <w:jc w:val="center"/>
              <w:outlineLvl w:val="0"/>
              <w:rPr>
                <w:rFonts w:ascii="Times New Roman" w:hAnsi="Times New Roman" w:cs="Times New Roman"/>
                <w:b w:val="false"/>
                <w:b w:val="false"/>
                <w:sz w:val="20"/>
              </w:rPr>
            </w:pPr>
            <w:r>
              <w:rPr>
                <w:rFonts w:cs="Times New Roman"/>
                <w:b w:val="false"/>
                <w:color w:val="000000"/>
                <w:sz w:val="20"/>
                <w:szCs w:val="20"/>
              </w:rPr>
              <w:t>Базовый тариф 5 949,00 рублей</w:t>
            </w:r>
          </w:p>
        </w:tc>
      </w:tr>
      <w:tr>
        <w:trPr/>
        <w:tc>
          <w:tcPr>
            <w:tcW w:w="1027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0"/>
              </w:numPr>
              <w:tabs>
                <w:tab w:val="clear" w:pos="720"/>
              </w:tabs>
              <w:ind w:left="0" w:hanging="0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Услуги гемодиализа</w:t>
            </w:r>
          </w:p>
        </w:tc>
      </w:tr>
      <w:tr>
        <w:trPr/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/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1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left"/>
              <w:rPr/>
            </w:pPr>
            <w:hyperlink r:id="rId2">
              <w:r>
                <w:rPr>
                  <w:b w:val="false"/>
                  <w:i w:val="false"/>
                  <w:strike w:val="false"/>
                  <w:dstrike w:val="false"/>
                  <w:color w:val="000000"/>
                  <w:sz w:val="20"/>
                  <w:u w:val="none"/>
                </w:rPr>
                <w:t>A18.05.002.003</w:t>
              </w:r>
            </w:hyperlink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Гемодиализ интермиттирующий продленный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/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стационарно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/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по КСГ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>
                <w:sz w:val="20"/>
                <w:szCs w:val="20"/>
              </w:rPr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szCs w:val="20"/>
                <w:u w:val="none"/>
              </w:rPr>
              <w:t>2,76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16 419,24</w:t>
            </w:r>
          </w:p>
        </w:tc>
      </w:tr>
      <w:tr>
        <w:trPr/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/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2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left"/>
              <w:rPr/>
            </w:pPr>
            <w:hyperlink r:id="rId3">
              <w:r>
                <w:rPr>
                  <w:b w:val="false"/>
                  <w:i w:val="false"/>
                  <w:strike w:val="false"/>
                  <w:dstrike w:val="false"/>
                  <w:color w:val="000000"/>
                  <w:sz w:val="20"/>
                  <w:u w:val="none"/>
                </w:rPr>
                <w:t>A18.05.003</w:t>
              </w:r>
            </w:hyperlink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Гемофильтрация крови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/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стационарно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/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по КСГ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>
                <w:sz w:val="20"/>
                <w:szCs w:val="20"/>
              </w:rPr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szCs w:val="20"/>
                <w:u w:val="none"/>
              </w:rPr>
              <w:t>2,88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17 133,12 </w:t>
            </w:r>
          </w:p>
        </w:tc>
      </w:tr>
      <w:tr>
        <w:trPr/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/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left"/>
              <w:rPr/>
            </w:pPr>
            <w:hyperlink r:id="rId4">
              <w:r>
                <w:rPr>
                  <w:b w:val="false"/>
                  <w:i w:val="false"/>
                  <w:strike w:val="false"/>
                  <w:dstrike w:val="false"/>
                  <w:color w:val="000000"/>
                  <w:sz w:val="20"/>
                  <w:u w:val="none"/>
                </w:rPr>
                <w:t>A18.05.004.001</w:t>
              </w:r>
            </w:hyperlink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Ультрафильтрация продленная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/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стационарно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/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по КСГ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>
                <w:sz w:val="20"/>
                <w:szCs w:val="20"/>
              </w:rPr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szCs w:val="20"/>
                <w:u w:val="none"/>
              </w:rPr>
              <w:t>2,51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14 931,99</w:t>
            </w:r>
          </w:p>
        </w:tc>
      </w:tr>
      <w:tr>
        <w:trPr/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/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4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left"/>
              <w:rPr/>
            </w:pPr>
            <w:hyperlink r:id="rId5">
              <w:r>
                <w:rPr>
                  <w:b w:val="false"/>
                  <w:i w:val="false"/>
                  <w:strike w:val="false"/>
                  <w:dstrike w:val="false"/>
                  <w:color w:val="000000"/>
                  <w:sz w:val="20"/>
                  <w:u w:val="none"/>
                </w:rPr>
                <w:t>A18.05.011.001</w:t>
              </w:r>
            </w:hyperlink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Гемодиафильтрация продленная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/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стационарно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/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по КСГ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>
                <w:sz w:val="20"/>
                <w:szCs w:val="20"/>
              </w:rPr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szCs w:val="20"/>
                <w:u w:val="none"/>
              </w:rPr>
              <w:t>3,01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17 906,49</w:t>
            </w:r>
          </w:p>
        </w:tc>
      </w:tr>
      <w:tr>
        <w:trPr/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/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5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left"/>
              <w:rPr/>
            </w:pPr>
            <w:hyperlink r:id="rId6">
              <w:r>
                <w:rPr>
                  <w:b w:val="false"/>
                  <w:i w:val="false"/>
                  <w:strike w:val="false"/>
                  <w:dstrike w:val="false"/>
                  <w:color w:val="000000"/>
                  <w:sz w:val="20"/>
                  <w:u w:val="none"/>
                </w:rPr>
                <w:t>A18.05.002.005</w:t>
              </w:r>
            </w:hyperlink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Гемодиализ продолжительный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/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стационарно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/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по КСГ (сутки)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>
                <w:sz w:val="20"/>
                <w:szCs w:val="20"/>
              </w:rPr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szCs w:val="20"/>
                <w:u w:val="none"/>
              </w:rPr>
              <w:t>5,23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31 113,27</w:t>
            </w:r>
          </w:p>
        </w:tc>
      </w:tr>
      <w:tr>
        <w:trPr/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/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left"/>
              <w:rPr/>
            </w:pPr>
            <w:hyperlink r:id="rId7">
              <w:r>
                <w:rPr>
                  <w:b w:val="false"/>
                  <w:i w:val="false"/>
                  <w:strike w:val="false"/>
                  <w:dstrike w:val="false"/>
                  <w:color w:val="000000"/>
                  <w:sz w:val="20"/>
                  <w:u w:val="none"/>
                </w:rPr>
                <w:t>A18.05.003.002</w:t>
              </w:r>
            </w:hyperlink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Гемофильтрация крови продолжительная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/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стационарно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/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по КСГ (сутки)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>
                <w:sz w:val="20"/>
                <w:szCs w:val="20"/>
              </w:rPr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szCs w:val="20"/>
                <w:u w:val="none"/>
              </w:rPr>
              <w:t>5,48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32 600,52</w:t>
            </w:r>
          </w:p>
        </w:tc>
      </w:tr>
      <w:tr>
        <w:trPr/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/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7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left"/>
              <w:rPr/>
            </w:pPr>
            <w:hyperlink r:id="rId8">
              <w:r>
                <w:rPr>
                  <w:b w:val="false"/>
                  <w:i w:val="false"/>
                  <w:strike w:val="false"/>
                  <w:dstrike w:val="false"/>
                  <w:color w:val="000000"/>
                  <w:sz w:val="20"/>
                  <w:u w:val="none"/>
                </w:rPr>
                <w:t>A18.05.011.002</w:t>
              </w:r>
            </w:hyperlink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Гемодиафильтрация продолжительная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/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стационарно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/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u w:val="none"/>
              </w:rPr>
              <w:t>по КСГ (сутки)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>
                <w:sz w:val="20"/>
                <w:szCs w:val="20"/>
              </w:rPr>
            </w:pPr>
            <w:r>
              <w:rPr>
                <w:b w:val="false"/>
                <w:i w:val="false"/>
                <w:strike w:val="false"/>
                <w:dstrike w:val="false"/>
                <w:color w:val="000000"/>
                <w:sz w:val="20"/>
                <w:szCs w:val="20"/>
                <w:u w:val="none"/>
              </w:rPr>
              <w:t>5,73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ind w:left="0" w:hanging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34 087,77</w:t>
            </w:r>
          </w:p>
        </w:tc>
      </w:tr>
    </w:tbl>
    <w:p>
      <w:pPr>
        <w:pStyle w:val="ConsPlusTitle"/>
        <w:spacing w:before="0" w:after="0"/>
        <w:contextualSpacing/>
        <w:jc w:val="both"/>
        <w:rPr>
          <w:rFonts w:ascii="Times New Roman" w:hAnsi="Times New Roman" w:cs="Times New Roman"/>
          <w:b w:val="false"/>
          <w:b w:val="false"/>
          <w:sz w:val="20"/>
        </w:rPr>
      </w:pPr>
      <w:r>
        <w:rPr>
          <w:rFonts w:cs="Times New Roman"/>
          <w:b w:val="false"/>
          <w:i w:val="false"/>
          <w:strike w:val="false"/>
          <w:dstrike w:val="false"/>
          <w:sz w:val="20"/>
          <w:u w:val="none"/>
        </w:rPr>
        <w:t>* - уровневый коэффициент не распространяется на тариф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hyperlink r:id="rId9">
        <w:r>
          <w:rPr>
            <w:sz w:val="28"/>
            <w:szCs w:val="28"/>
          </w:rPr>
          <w:t>Таблица 2</w:t>
        </w:r>
      </w:hyperlink>
    </w:p>
    <w:p>
      <w:pPr>
        <w:pStyle w:val="Normal"/>
        <w:jc w:val="center"/>
        <w:rPr>
          <w:sz w:val="28"/>
          <w:szCs w:val="28"/>
          <w:lang w:val="en-US"/>
        </w:rPr>
      </w:pPr>
      <w:hyperlink r:id="rId10">
        <w:r>
          <w:rPr>
            <w:sz w:val="28"/>
            <w:szCs w:val="28"/>
            <w:lang w:val="en-US"/>
          </w:rPr>
          <w:t>КСГ основного патологического процесса</w:t>
        </w:r>
      </w:hyperlink>
    </w:p>
    <w:p>
      <w:pPr>
        <w:pStyle w:val="Normal"/>
        <w:jc w:val="center"/>
        <w:rPr>
          <w:sz w:val="12"/>
          <w:szCs w:val="12"/>
          <w:lang w:val="en-US"/>
        </w:rPr>
      </w:pPr>
      <w:r>
        <w:rPr>
          <w:sz w:val="12"/>
          <w:szCs w:val="12"/>
          <w:lang w:val="en-US"/>
        </w:rPr>
      </w:r>
    </w:p>
    <w:tbl>
      <w:tblPr>
        <w:tblW w:w="10287" w:type="dxa"/>
        <w:jc w:val="left"/>
        <w:tblInd w:w="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38"/>
        <w:gridCol w:w="8449"/>
      </w:tblGrid>
      <w:tr>
        <w:trPr>
          <w:trHeight w:val="45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textAlignment w:val="center"/>
              <w:rPr/>
            </w:pPr>
            <w:hyperlink r:id="rId11">
              <w:r>
                <w:rPr>
                  <w:rFonts w:eastAsia="Times New Roman"/>
                  <w:b/>
                  <w:bCs/>
                  <w:color w:val="000000"/>
                  <w:sz w:val="24"/>
                  <w:szCs w:val="24"/>
                  <w:lang w:eastAsia="ru-RU"/>
                </w:rPr>
                <w:t>КСГ</w:t>
              </w:r>
            </w:hyperlink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textAlignment w:val="center"/>
              <w:rPr/>
            </w:pPr>
            <w:hyperlink r:id="rId12">
              <w:r>
                <w:rPr>
                  <w:rFonts w:eastAsia="Times New Roman"/>
                  <w:b/>
                  <w:bCs/>
                  <w:color w:val="000000"/>
                  <w:sz w:val="24"/>
                  <w:szCs w:val="24"/>
                  <w:lang w:eastAsia="ru-RU"/>
                </w:rPr>
                <w:t>Расшифровка КСГ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13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st12.005</w:t>
              </w:r>
            </w:hyperlink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hyperlink r:id="rId14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Сепсис, взрослые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15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st12.006</w:t>
              </w:r>
            </w:hyperlink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hyperlink r:id="rId16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Сепсис, дети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17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st12.007</w:t>
              </w:r>
            </w:hyperlink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hyperlink r:id="rId18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Сепсис с синдромом органной дисфункции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19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st04.006</w:t>
              </w:r>
            </w:hyperlink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hyperlink r:id="rId20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Панкреатит с синдромом органной дисфункции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21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st12.013</w:t>
              </w:r>
            </w:hyperlink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hyperlink r:id="rId22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Грипп и пневмония с синдромом органной дисфункции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23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st33.008</w:t>
              </w:r>
            </w:hyperlink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hyperlink r:id="rId24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Ожоги (уровень 4,5) с синдромом органной дисфункции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25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st27.013</w:t>
              </w:r>
            </w:hyperlink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hyperlink r:id="rId26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Отравления и другие воздействия внешних причин с синдромом органной дисфункции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27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st27.012</w:t>
              </w:r>
            </w:hyperlink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rPr/>
            </w:pPr>
            <w:hyperlink r:id="rId28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Отравления и другие воздействия внешних причин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29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st04.003</w:t>
              </w:r>
            </w:hyperlink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hyperlink r:id="rId30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Болезни печени, невирусные (уровень 1)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31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st04.004</w:t>
              </w:r>
            </w:hyperlink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hyperlink r:id="rId32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Болезни печени, невирусные (уровень 2)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33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st05.002</w:t>
              </w:r>
            </w:hyperlink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hyperlink r:id="rId34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Анемии (уровень 2)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35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st11.003</w:t>
              </w:r>
            </w:hyperlink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hyperlink r:id="rId36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Другие болезни эндокринной системы, дети (уровень 1)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37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st11.004</w:t>
              </w:r>
            </w:hyperlink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hyperlink r:id="rId38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Другие болезни эндокринной системы, дети (уровень 2)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39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st35.004</w:t>
              </w:r>
            </w:hyperlink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hyperlink r:id="rId40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Другие болезни эндокринной системы, взрослые (уровень 1)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41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st35.005</w:t>
              </w:r>
            </w:hyperlink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hyperlink r:id="rId42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Другие болезни эндокринной системы, взрослые (уровень 2)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43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st04.005</w:t>
              </w:r>
            </w:hyperlink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hyperlink r:id="rId44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Болезни поджелудочной железы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45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st32.007</w:t>
              </w:r>
            </w:hyperlink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hyperlink r:id="rId46">
              <w:r>
                <w:rPr>
                  <w:rFonts w:eastAsia="Times New Roman"/>
                  <w:color w:val="000000"/>
                  <w:sz w:val="24"/>
                  <w:szCs w:val="24"/>
                  <w:lang w:eastAsia="ru-RU"/>
                </w:rPr>
                <w:t>Панкреатит, хирургическое лечение</w:t>
              </w:r>
            </w:hyperlink>
          </w:p>
        </w:tc>
      </w:tr>
    </w:tbl>
    <w:p>
      <w:pPr>
        <w:pStyle w:val="Normal"/>
        <w:rPr>
          <w:sz w:val="28"/>
          <w:szCs w:val="28"/>
        </w:rPr>
      </w:pPr>
      <w:hyperlink r:id="rId47">
        <w:r>
          <w:rPr>
            <w:sz w:val="28"/>
            <w:szCs w:val="28"/>
          </w:rPr>
          <w:t xml:space="preserve">                                                                                                                            </w:t>
        </w:r>
        <w:bookmarkStart w:id="0" w:name="_GoBack1"/>
        <w:bookmarkEnd w:id="0"/>
        <w:r>
          <w:rPr>
            <w:sz w:val="28"/>
            <w:szCs w:val="28"/>
          </w:rPr>
          <w:t>»</w:t>
        </w:r>
      </w:hyperlink>
    </w:p>
    <w:sectPr>
      <w:type w:val="nextPage"/>
      <w:pgSz w:w="11906" w:h="16838"/>
      <w:pgMar w:left="1188" w:right="518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Cs w:val="24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32fee"/>
    <w:pPr>
      <w:widowControl/>
      <w:suppressAutoHyphens w:val="true"/>
      <w:bidi w:val="0"/>
      <w:spacing w:before="0" w:after="0"/>
      <w:ind w:firstLine="709"/>
      <w:jc w:val="both"/>
    </w:pPr>
    <w:rPr>
      <w:rFonts w:ascii="Times New Roman" w:hAnsi="Times New Roman" w:eastAsia="Calibri" w:cs="Times New Roman" w:eastAsiaTheme="minorHAnsi"/>
      <w:color w:val="auto"/>
      <w:kern w:val="0"/>
      <w:sz w:val="24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Title" w:customStyle="1">
    <w:name w:val="ConsPlusTitle"/>
    <w:qFormat/>
    <w:pPr>
      <w:widowControl w:val="false"/>
      <w:suppressAutoHyphens w:val="true"/>
      <w:bidi w:val="0"/>
      <w:spacing w:before="0" w:after="0"/>
      <w:ind w:firstLine="709"/>
      <w:jc w:val="left"/>
    </w:pPr>
    <w:rPr>
      <w:rFonts w:ascii="Times New Roman" w:hAnsi="Times New Roman" w:eastAsia="Times New Roman" w:cs="Calibri"/>
      <w:b/>
      <w:color w:val="auto"/>
      <w:kern w:val="0"/>
      <w:sz w:val="24"/>
      <w:szCs w:val="20"/>
      <w:lang w:val="ru-RU" w:eastAsia="ru-RU" w:bidi="ar-SA"/>
    </w:rPr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before="0" w:after="0"/>
      <w:ind w:firstLine="709"/>
      <w:jc w:val="left"/>
    </w:pPr>
    <w:rPr>
      <w:rFonts w:ascii="Times New Roman" w:hAnsi="Times New Roman" w:eastAsia="Times New Roman" w:cs="Calibri"/>
      <w:color w:val="auto"/>
      <w:kern w:val="0"/>
      <w:sz w:val="24"/>
      <w:szCs w:val="20"/>
      <w:lang w:val="ru-RU" w:eastAsia="ru-RU" w:bidi="ar-SA"/>
    </w:rPr>
  </w:style>
  <w:style w:type="paragraph" w:styleId="Style20" w:customStyle="1">
    <w:name w:val="Содержимое таблицы"/>
    <w:basedOn w:val="Normal"/>
    <w:qFormat/>
    <w:pPr>
      <w:suppressLineNumbers/>
    </w:pPr>
    <w:rPr/>
  </w:style>
  <w:style w:type="paragraph" w:styleId="Style21" w:customStyle="1">
    <w:name w:val="Заголовок таблицы"/>
    <w:basedOn w:val="Style20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50C94E1B5801B16CC2FB9342B28BE55CDA52F3225ABC15091B5DAFA470752663498420AD713D7FFCB71E4AEA9BC1547957A16F04D619E802hBs0O" TargetMode="External"/><Relationship Id="rId3" Type="http://schemas.openxmlformats.org/officeDocument/2006/relationships/hyperlink" Target="consultantplus://offline/ref=50C94E1B5801B16CC2FB9342B28BE55CDA52F3225ABC15091B5DAFA470752663498420AD713D7FFDB31E4AEA9BC1547957A16F04D619E802hBs0O" TargetMode="External"/><Relationship Id="rId4" Type="http://schemas.openxmlformats.org/officeDocument/2006/relationships/hyperlink" Target="consultantplus://offline/ref=50C94E1B5801B16CC2FB9342B28BE55CDA52F3225ABC15091B5DAFA470752663498420AD713D7FFAB11E4AEA9BC1547957A16F04D619E802hBs0O" TargetMode="External"/><Relationship Id="rId5" Type="http://schemas.openxmlformats.org/officeDocument/2006/relationships/hyperlink" Target="consultantplus://offline/ref=50C94E1B5801B16CC2FB9342B28BE55CDA52F3225ABC15091B5DAFA470752663498420AD713D7FFBB91E4AEA9BC1547957A16F04D619E802hBs0O" TargetMode="External"/><Relationship Id="rId6" Type="http://schemas.openxmlformats.org/officeDocument/2006/relationships/hyperlink" Target="consultantplus://offline/ref=50C94E1B5801B16CC2FB9342B28BE55CDA52F3225ABC15091B5DAFA470752663498420AD713D7FFDB11E4AEA9BC1547957A16F04D619E802hBs0O" TargetMode="External"/><Relationship Id="rId7" Type="http://schemas.openxmlformats.org/officeDocument/2006/relationships/hyperlink" Target="consultantplus://offline/ref=50C94E1B5801B16CC2FB9342B28BE55CDA52F3225ABC15091B5DAFA470752663498420AD713D7FFDB71E4AEA9BC1547957A16F04D619E802hBs0O" TargetMode="External"/><Relationship Id="rId8" Type="http://schemas.openxmlformats.org/officeDocument/2006/relationships/hyperlink" Target="consultantplus://offline/ref=50C94E1B5801B16CC2FB9342B28BE55CDA52F3225ABC15091B5DAFA470752663498420AD713D7FF8B11E4AEA9BC1547957A16F04D619E802hBs0O" TargetMode="External"/><Relationship Id="rId9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10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11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12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13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14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15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16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17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18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19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20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21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22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23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24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25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26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27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28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29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30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31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32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33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34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35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36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37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38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39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40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41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42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43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44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45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46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47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48" Type="http://schemas.openxmlformats.org/officeDocument/2006/relationships/fontTable" Target="fontTable.xml"/><Relationship Id="rId49" Type="http://schemas.openxmlformats.org/officeDocument/2006/relationships/settings" Target="settings.xml"/><Relationship Id="rId5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Application>LibreOffice/6.4.5.2$Windows_X86_64 LibreOffice_project/a726b36747cf2001e06b58ad5db1aa3a9a1872d6</Application>
  <Pages>2</Pages>
  <Words>272</Words>
  <Characters>1839</Characters>
  <CharactersWithSpaces>2128</CharactersWithSpaces>
  <Paragraphs>110</Paragraphs>
  <Company>КонсультантПлюс Версия 4021.00.65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2022-05-06T17:44:00Z</dcterms:created>
  <dc:creator>Алексей Баклушин</dc:creator>
  <dc:description/>
  <dc:language>ru-RU</dc:language>
  <cp:lastModifiedBy/>
  <cp:lastPrinted>2022-03-25T13:20:00Z</cp:lastPrinted>
  <dcterms:modified xsi:type="dcterms:W3CDTF">2022-05-18T08:49:27Z</dcterms:modified>
  <cp:revision>10</cp:revision>
  <dc:subject/>
  <dc:title>&lt;Письмо&gt; Минздрава России от 04.02.2022 N 11-7/И/2-1631"О методических рекомендациях по способам оплаты медицинской помощи за счет средств обязательного медицинского страхования"(вместе с "Методическими рекомендациями по способам оплаты медицинской помощи за счет средств обязательного медицинского страхования", утв. Минздравом России N 11-7/И/2-1619, ФФОМС N 00-10-26-2-06/750 02.02.2022)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4021.00.65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